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color="auto" w:fill="FFFFFF"/>
        <w:spacing w:before="0" w:beforeAutospacing="0" w:after="0" w:afterAutospacing="0"/>
        <w:jc w:val="center"/>
        <w:rPr>
          <w:rFonts w:ascii="黑体" w:hAnsi="微软雅黑" w:eastAsia="黑体"/>
          <w:color w:val="333333"/>
          <w:sz w:val="36"/>
          <w:szCs w:val="36"/>
        </w:rPr>
      </w:pPr>
      <w:bookmarkStart w:id="0" w:name="_GoBack"/>
      <w:bookmarkEnd w:id="0"/>
    </w:p>
    <w:p>
      <w:pPr>
        <w:pStyle w:val="5"/>
        <w:shd w:val="clear" w:color="auto" w:fill="FFFFFF"/>
        <w:spacing w:before="0" w:beforeAutospacing="0" w:after="0" w:afterAutospacing="0"/>
        <w:jc w:val="center"/>
        <w:rPr>
          <w:b/>
          <w:sz w:val="44"/>
          <w:szCs w:val="44"/>
        </w:rPr>
      </w:pPr>
      <w:r>
        <w:rPr>
          <w:rFonts w:hint="eastAsia"/>
          <w:b/>
          <w:sz w:val="44"/>
          <w:szCs w:val="44"/>
        </w:rPr>
        <w:t>太原市高技能人才实训基地管理办法（暂行）</w:t>
      </w:r>
    </w:p>
    <w:p>
      <w:pPr>
        <w:pStyle w:val="5"/>
        <w:shd w:val="clear" w:color="auto" w:fill="FFFFFF"/>
        <w:spacing w:before="0" w:beforeAutospacing="0" w:after="0" w:afterAutospacing="0"/>
        <w:rPr>
          <w:rFonts w:ascii="微软雅黑" w:eastAsia="微软雅黑"/>
          <w:color w:val="333333"/>
        </w:rPr>
      </w:pPr>
    </w:p>
    <w:p>
      <w:pPr>
        <w:pStyle w:val="5"/>
        <w:shd w:val="clear" w:color="auto" w:fill="FFFFFF"/>
        <w:spacing w:before="0" w:beforeAutospacing="0" w:after="0" w:afterAutospacing="0" w:line="600" w:lineRule="exact"/>
        <w:jc w:val="center"/>
        <w:rPr>
          <w:rFonts w:ascii="黑体" w:hAnsi="仿宋" w:eastAsia="黑体" w:cs="仿宋"/>
          <w:b/>
          <w:color w:val="333333"/>
          <w:sz w:val="32"/>
          <w:szCs w:val="32"/>
        </w:rPr>
      </w:pPr>
      <w:r>
        <w:rPr>
          <w:rFonts w:hint="eastAsia" w:ascii="黑体" w:hAnsi="仿宋" w:eastAsia="黑体" w:cs="仿宋"/>
          <w:b/>
          <w:color w:val="333333"/>
          <w:sz w:val="32"/>
          <w:szCs w:val="32"/>
        </w:rPr>
        <w:t>第一章</w:t>
      </w:r>
      <w:r>
        <w:rPr>
          <w:rFonts w:ascii="黑体" w:hAnsi="仿宋" w:eastAsia="黑体" w:cs="仿宋"/>
          <w:b/>
          <w:color w:val="333333"/>
          <w:sz w:val="32"/>
          <w:szCs w:val="32"/>
        </w:rPr>
        <w:t xml:space="preserve"> </w:t>
      </w:r>
      <w:r>
        <w:rPr>
          <w:rFonts w:hint="eastAsia" w:ascii="黑体" w:hAnsi="仿宋" w:eastAsia="黑体" w:cs="仿宋"/>
          <w:b/>
          <w:color w:val="333333"/>
          <w:sz w:val="32"/>
          <w:szCs w:val="32"/>
        </w:rPr>
        <w:t>总则</w:t>
      </w:r>
    </w:p>
    <w:p>
      <w:pPr>
        <w:spacing w:line="600" w:lineRule="exact"/>
        <w:rPr>
          <w:rFonts w:ascii="仿宋_GB2312" w:hAnsi="仿宋" w:eastAsia="仿宋_GB2312" w:cs="仿宋"/>
          <w:color w:val="333333"/>
          <w:sz w:val="32"/>
          <w:szCs w:val="32"/>
        </w:rPr>
      </w:pPr>
      <w:r>
        <w:rPr>
          <w:rFonts w:hint="eastAsia" w:ascii="仿宋_GB2312" w:hAnsi="仿宋" w:eastAsia="仿宋_GB2312" w:cs="仿宋"/>
          <w:color w:val="333333"/>
          <w:sz w:val="32"/>
          <w:szCs w:val="32"/>
        </w:rPr>
        <w:t>　　</w:t>
      </w:r>
      <w:r>
        <w:rPr>
          <w:rFonts w:hint="eastAsia" w:ascii="仿宋_GB2312" w:hAnsi="仿宋" w:eastAsia="仿宋_GB2312" w:cs="仿宋"/>
          <w:b/>
          <w:color w:val="333333"/>
          <w:sz w:val="32"/>
          <w:szCs w:val="32"/>
        </w:rPr>
        <w:t>第一条</w:t>
      </w:r>
      <w:r>
        <w:rPr>
          <w:rFonts w:ascii="仿宋_GB2312" w:hAnsi="仿宋" w:eastAsia="仿宋_GB2312" w:cs="仿宋"/>
          <w:color w:val="333333"/>
          <w:sz w:val="32"/>
          <w:szCs w:val="32"/>
        </w:rPr>
        <w:t xml:space="preserve"> </w:t>
      </w:r>
      <w:r>
        <w:rPr>
          <w:rFonts w:hint="eastAsia" w:ascii="仿宋_GB2312" w:hAnsi="仿宋" w:eastAsia="仿宋_GB2312" w:cs="仿宋"/>
          <w:sz w:val="32"/>
          <w:szCs w:val="32"/>
        </w:rPr>
        <w:t>为提升高技能人才实践操作能力，根据《关于深化人才发展体制机制改革加快推进创新驱动转型升级的实施意见》（并发</w:t>
      </w:r>
      <w:r>
        <w:rPr>
          <w:rFonts w:ascii="仿宋_GB2312" w:hAnsi="仿宋" w:eastAsia="仿宋_GB2312" w:cs="仿宋"/>
          <w:sz w:val="32"/>
          <w:szCs w:val="32"/>
        </w:rPr>
        <w:t>[2018]2</w:t>
      </w:r>
      <w:r>
        <w:rPr>
          <w:rFonts w:hint="eastAsia" w:ascii="仿宋_GB2312" w:hAnsi="仿宋" w:eastAsia="仿宋_GB2312" w:cs="仿宋"/>
          <w:sz w:val="32"/>
          <w:szCs w:val="32"/>
        </w:rPr>
        <w:t>号）和《关于搭建人才事业平台推动转型发展的若干措施》（并办发</w:t>
      </w:r>
      <w:r>
        <w:rPr>
          <w:rFonts w:ascii="仿宋_GB2312" w:hAnsi="仿宋" w:eastAsia="仿宋_GB2312" w:cs="仿宋"/>
          <w:sz w:val="32"/>
          <w:szCs w:val="32"/>
        </w:rPr>
        <w:t>[2018]46</w:t>
      </w:r>
      <w:r>
        <w:rPr>
          <w:rFonts w:hint="eastAsia" w:ascii="仿宋_GB2312" w:hAnsi="仿宋" w:eastAsia="仿宋_GB2312" w:cs="仿宋"/>
          <w:sz w:val="32"/>
          <w:szCs w:val="32"/>
        </w:rPr>
        <w:t>号）的有关要求，结合我市产业发展需求，</w:t>
      </w:r>
      <w:r>
        <w:rPr>
          <w:rFonts w:hint="eastAsia" w:ascii="仿宋_GB2312" w:hAnsi="仿宋" w:eastAsia="仿宋_GB2312" w:cs="仿宋"/>
          <w:color w:val="333333"/>
          <w:sz w:val="32"/>
          <w:szCs w:val="32"/>
        </w:rPr>
        <w:t>特制定本办法。</w:t>
      </w:r>
    </w:p>
    <w:p>
      <w:pPr>
        <w:spacing w:line="600" w:lineRule="exact"/>
        <w:ind w:firstLine="570"/>
        <w:rPr>
          <w:rFonts w:ascii="仿宋_GB2312" w:hAnsi="仿宋" w:eastAsia="仿宋_GB2312" w:cs="仿宋"/>
          <w:sz w:val="32"/>
          <w:szCs w:val="32"/>
        </w:rPr>
      </w:pPr>
      <w:r>
        <w:rPr>
          <w:rFonts w:hint="eastAsia" w:ascii="仿宋_GB2312" w:hAnsi="仿宋" w:eastAsia="仿宋_GB2312" w:cs="仿宋"/>
          <w:b/>
          <w:color w:val="333333"/>
          <w:sz w:val="32"/>
          <w:szCs w:val="32"/>
        </w:rPr>
        <w:t>第二条</w:t>
      </w:r>
      <w:r>
        <w:rPr>
          <w:rFonts w:ascii="仿宋_GB2312" w:hAnsi="仿宋" w:eastAsia="仿宋_GB2312" w:cs="仿宋"/>
          <w:color w:val="333333"/>
          <w:sz w:val="32"/>
          <w:szCs w:val="32"/>
        </w:rPr>
        <w:t xml:space="preserve"> </w:t>
      </w:r>
      <w:r>
        <w:rPr>
          <w:rFonts w:hint="eastAsia" w:ascii="仿宋_GB2312" w:hAnsi="仿宋" w:eastAsia="仿宋_GB2312" w:cs="仿宋"/>
          <w:color w:val="333333"/>
          <w:sz w:val="32"/>
          <w:szCs w:val="32"/>
        </w:rPr>
        <w:t>本办法所指</w:t>
      </w:r>
      <w:r>
        <w:rPr>
          <w:rFonts w:hint="eastAsia" w:ascii="仿宋_GB2312" w:hAnsi="仿宋" w:eastAsia="仿宋_GB2312" w:cs="仿宋"/>
          <w:sz w:val="32"/>
          <w:szCs w:val="32"/>
        </w:rPr>
        <w:t>高技能人才</w:t>
      </w:r>
      <w:r>
        <w:rPr>
          <w:rFonts w:hint="eastAsia" w:ascii="仿宋_GB2312" w:hAnsi="仿宋" w:eastAsia="仿宋_GB2312" w:cs="仿宋"/>
          <w:color w:val="333333"/>
          <w:sz w:val="32"/>
          <w:szCs w:val="32"/>
        </w:rPr>
        <w:t>实训</w:t>
      </w:r>
      <w:r>
        <w:rPr>
          <w:rFonts w:hint="eastAsia" w:ascii="仿宋_GB2312" w:hAnsi="仿宋" w:eastAsia="仿宋_GB2312" w:cs="仿宋"/>
          <w:sz w:val="32"/>
          <w:szCs w:val="32"/>
        </w:rPr>
        <w:t>基地，是依据申报条件要求，经人力资源和社会保障行政部门组织申报、评审遴选确定的国家级、省级、市级高技能人才实训基地。主要面向社会各类在职职工、在校后备技能人才及其他有职业技能提升愿望的劳动者开展技能研修培训，培养适应我市经济社会发展需要的高级工、技师、高级技师，同时承担高技能人才评价、职业技能竞赛、高技能人才课程研发、高技能人才成果交流展示等任务。</w:t>
      </w:r>
    </w:p>
    <w:p>
      <w:pPr>
        <w:spacing w:line="600" w:lineRule="exact"/>
        <w:ind w:firstLine="643" w:firstLineChars="200"/>
        <w:rPr>
          <w:rFonts w:ascii="仿宋_GB2312" w:hAnsi="仿宋" w:eastAsia="仿宋_GB2312" w:cs="仿宋"/>
          <w:color w:val="333333"/>
          <w:sz w:val="32"/>
          <w:szCs w:val="32"/>
        </w:rPr>
      </w:pPr>
      <w:r>
        <w:rPr>
          <w:rFonts w:hint="eastAsia" w:ascii="仿宋_GB2312" w:hAnsi="仿宋" w:eastAsia="仿宋_GB2312" w:cs="仿宋"/>
          <w:b/>
          <w:color w:val="333333"/>
          <w:sz w:val="32"/>
          <w:szCs w:val="32"/>
        </w:rPr>
        <w:t>第三条</w:t>
      </w:r>
      <w:r>
        <w:rPr>
          <w:rFonts w:ascii="仿宋_GB2312" w:hAnsi="仿宋" w:eastAsia="仿宋_GB2312" w:cs="仿宋"/>
          <w:b/>
          <w:color w:val="333333"/>
          <w:sz w:val="32"/>
          <w:szCs w:val="32"/>
        </w:rPr>
        <w:t xml:space="preserve"> </w:t>
      </w:r>
      <w:r>
        <w:rPr>
          <w:rFonts w:hint="eastAsia" w:ascii="仿宋_GB2312" w:hAnsi="仿宋" w:eastAsia="仿宋_GB2312" w:cs="仿宋"/>
          <w:color w:val="333333"/>
          <w:sz w:val="32"/>
          <w:szCs w:val="32"/>
        </w:rPr>
        <w:t>实训基地建设实施范围原则上是以我市市域内培养中、高级技能人才为主要目标的技工院校（含职业院校）、职业培训机构、公共实训基地以及大中型企业技能培训中心。</w:t>
      </w:r>
    </w:p>
    <w:p>
      <w:pPr>
        <w:pStyle w:val="5"/>
        <w:shd w:val="clear" w:color="auto" w:fill="FFFFFF"/>
        <w:spacing w:before="0" w:beforeAutospacing="0" w:after="0" w:afterAutospacing="0" w:line="600" w:lineRule="exact"/>
        <w:ind w:firstLine="643" w:firstLineChars="200"/>
        <w:rPr>
          <w:rFonts w:ascii="仿宋_GB2312" w:hAnsi="仿宋" w:eastAsia="仿宋_GB2312" w:cs="仿宋"/>
          <w:color w:val="333333"/>
          <w:sz w:val="32"/>
          <w:szCs w:val="32"/>
        </w:rPr>
      </w:pPr>
      <w:r>
        <w:rPr>
          <w:rFonts w:hint="eastAsia" w:ascii="仿宋_GB2312" w:hAnsi="仿宋" w:eastAsia="仿宋_GB2312" w:cs="仿宋"/>
          <w:b/>
          <w:color w:val="333333"/>
          <w:sz w:val="32"/>
          <w:szCs w:val="32"/>
        </w:rPr>
        <w:t>第四条</w:t>
      </w:r>
      <w:r>
        <w:rPr>
          <w:rFonts w:ascii="仿宋_GB2312" w:hAnsi="仿宋" w:eastAsia="仿宋_GB2312" w:cs="仿宋"/>
          <w:color w:val="333333"/>
          <w:sz w:val="32"/>
          <w:szCs w:val="32"/>
        </w:rPr>
        <w:t xml:space="preserve"> </w:t>
      </w:r>
      <w:r>
        <w:rPr>
          <w:rFonts w:ascii="仿宋_GB2312" w:hAnsi="仿宋" w:eastAsia="仿宋_GB2312" w:cs="仿宋"/>
          <w:b/>
          <w:color w:val="333333"/>
          <w:sz w:val="32"/>
          <w:szCs w:val="32"/>
        </w:rPr>
        <w:t xml:space="preserve"> </w:t>
      </w:r>
      <w:r>
        <w:rPr>
          <w:rFonts w:hint="eastAsia" w:ascii="仿宋_GB2312" w:hAnsi="仿宋" w:eastAsia="仿宋_GB2312" w:cs="仿宋"/>
          <w:sz w:val="32"/>
          <w:szCs w:val="32"/>
        </w:rPr>
        <w:t>我市高技能人才</w:t>
      </w:r>
      <w:r>
        <w:rPr>
          <w:rFonts w:hint="eastAsia" w:ascii="仿宋_GB2312" w:hAnsi="仿宋" w:eastAsia="仿宋_GB2312" w:cs="仿宋"/>
          <w:color w:val="333333"/>
          <w:sz w:val="32"/>
          <w:szCs w:val="32"/>
        </w:rPr>
        <w:t>实训</w:t>
      </w:r>
      <w:r>
        <w:rPr>
          <w:rFonts w:hint="eastAsia" w:ascii="仿宋_GB2312" w:hAnsi="仿宋" w:eastAsia="仿宋_GB2312" w:cs="仿宋"/>
          <w:sz w:val="32"/>
          <w:szCs w:val="32"/>
        </w:rPr>
        <w:t>基地</w:t>
      </w:r>
      <w:r>
        <w:rPr>
          <w:rFonts w:hint="eastAsia" w:ascii="仿宋_GB2312" w:hAnsi="仿宋" w:eastAsia="仿宋_GB2312" w:cs="仿宋"/>
          <w:color w:val="333333"/>
          <w:sz w:val="32"/>
          <w:szCs w:val="32"/>
        </w:rPr>
        <w:t>要</w:t>
      </w:r>
      <w:r>
        <w:rPr>
          <w:rFonts w:hint="eastAsia" w:ascii="仿宋_GB2312" w:hAnsi="仿宋" w:eastAsia="仿宋_GB2312" w:cs="仿宋"/>
          <w:sz w:val="32"/>
          <w:szCs w:val="32"/>
        </w:rPr>
        <w:t>发挥省会城市优势，要</w:t>
      </w:r>
      <w:r>
        <w:rPr>
          <w:rFonts w:hint="eastAsia" w:ascii="仿宋_GB2312" w:hAnsi="仿宋" w:eastAsia="仿宋_GB2312" w:cs="仿宋"/>
          <w:color w:val="333333"/>
          <w:sz w:val="32"/>
          <w:szCs w:val="32"/>
        </w:rPr>
        <w:t>与本地经济发展密切结合。根据区域经济发展、产业振兴发展规划和战略性新兴产业发展需要，重点支持信息技术、先进装备制造、新材料、新能源四大产业集群和军民融合、现代服务业、都市现代农业等项目开展</w:t>
      </w:r>
      <w:r>
        <w:rPr>
          <w:rFonts w:hint="eastAsia" w:ascii="仿宋_GB2312" w:hAnsi="仿宋" w:eastAsia="仿宋_GB2312" w:cs="仿宋"/>
          <w:sz w:val="32"/>
          <w:szCs w:val="32"/>
        </w:rPr>
        <w:t>高技能人才</w:t>
      </w:r>
      <w:r>
        <w:rPr>
          <w:rFonts w:hint="eastAsia" w:ascii="仿宋_GB2312" w:hAnsi="仿宋" w:eastAsia="仿宋_GB2312" w:cs="仿宋"/>
          <w:color w:val="333333"/>
          <w:sz w:val="32"/>
          <w:szCs w:val="32"/>
        </w:rPr>
        <w:t>实训</w:t>
      </w:r>
      <w:r>
        <w:rPr>
          <w:rFonts w:hint="eastAsia" w:ascii="仿宋_GB2312" w:hAnsi="仿宋" w:eastAsia="仿宋_GB2312" w:cs="仿宋"/>
          <w:sz w:val="32"/>
          <w:szCs w:val="32"/>
        </w:rPr>
        <w:t>基地建设实施。</w:t>
      </w:r>
    </w:p>
    <w:p>
      <w:pPr>
        <w:pStyle w:val="5"/>
        <w:shd w:val="clear" w:color="auto" w:fill="FFFFFF"/>
        <w:spacing w:before="0" w:beforeAutospacing="0" w:after="0" w:afterAutospacing="0" w:line="600" w:lineRule="exact"/>
        <w:rPr>
          <w:rFonts w:ascii="仿宋_GB2312" w:hAnsi="仿宋" w:eastAsia="仿宋_GB2312" w:cs="仿宋"/>
          <w:color w:val="333333"/>
          <w:sz w:val="32"/>
          <w:szCs w:val="32"/>
        </w:rPr>
      </w:pPr>
    </w:p>
    <w:p>
      <w:pPr>
        <w:pStyle w:val="5"/>
        <w:shd w:val="clear" w:color="auto" w:fill="FFFFFF"/>
        <w:spacing w:before="0" w:beforeAutospacing="0" w:after="0" w:afterAutospacing="0" w:line="600" w:lineRule="exact"/>
        <w:jc w:val="center"/>
        <w:rPr>
          <w:rFonts w:ascii="黑体" w:hAnsi="仿宋" w:eastAsia="黑体" w:cs="仿宋"/>
          <w:b/>
          <w:color w:val="333333"/>
          <w:sz w:val="32"/>
          <w:szCs w:val="32"/>
        </w:rPr>
      </w:pPr>
      <w:r>
        <w:rPr>
          <w:rFonts w:hint="eastAsia" w:ascii="黑体" w:hAnsi="仿宋" w:eastAsia="黑体" w:cs="仿宋"/>
          <w:b/>
          <w:color w:val="333333"/>
          <w:sz w:val="32"/>
          <w:szCs w:val="32"/>
        </w:rPr>
        <w:t>第二章</w:t>
      </w:r>
      <w:r>
        <w:rPr>
          <w:rFonts w:ascii="黑体" w:hAnsi="仿宋" w:eastAsia="黑体" w:cs="仿宋"/>
          <w:b/>
          <w:color w:val="333333"/>
          <w:sz w:val="32"/>
          <w:szCs w:val="32"/>
        </w:rPr>
        <w:t xml:space="preserve"> </w:t>
      </w:r>
      <w:r>
        <w:rPr>
          <w:rFonts w:hint="eastAsia" w:ascii="黑体" w:hAnsi="仿宋" w:eastAsia="黑体" w:cs="仿宋"/>
          <w:b/>
          <w:color w:val="333333"/>
          <w:sz w:val="32"/>
          <w:szCs w:val="32"/>
        </w:rPr>
        <w:t>项目申报与评审</w:t>
      </w:r>
    </w:p>
    <w:p>
      <w:pPr>
        <w:pStyle w:val="5"/>
        <w:shd w:val="clear" w:color="auto" w:fill="FFFFFF"/>
        <w:spacing w:before="0" w:beforeAutospacing="0" w:after="0" w:afterAutospacing="0" w:line="600" w:lineRule="exact"/>
        <w:rPr>
          <w:rFonts w:ascii="仿宋_GB2312" w:hAnsi="仿宋" w:eastAsia="仿宋_GB2312" w:cs="仿宋"/>
          <w:color w:val="333333"/>
          <w:sz w:val="32"/>
          <w:szCs w:val="32"/>
        </w:rPr>
      </w:pPr>
      <w:r>
        <w:rPr>
          <w:rFonts w:hint="eastAsia" w:ascii="仿宋_GB2312" w:hAnsi="仿宋" w:eastAsia="仿宋_GB2312" w:cs="仿宋"/>
          <w:color w:val="333333"/>
          <w:sz w:val="32"/>
          <w:szCs w:val="32"/>
        </w:rPr>
        <w:t>　　</w:t>
      </w:r>
      <w:r>
        <w:rPr>
          <w:rFonts w:hint="eastAsia" w:ascii="仿宋_GB2312" w:hAnsi="仿宋" w:eastAsia="仿宋_GB2312" w:cs="仿宋"/>
          <w:b/>
          <w:color w:val="333333"/>
          <w:sz w:val="32"/>
          <w:szCs w:val="32"/>
        </w:rPr>
        <w:t>第五条</w:t>
      </w:r>
      <w:r>
        <w:rPr>
          <w:rFonts w:ascii="仿宋_GB2312" w:hAnsi="仿宋" w:eastAsia="仿宋_GB2312" w:cs="仿宋"/>
          <w:color w:val="333333"/>
          <w:sz w:val="32"/>
          <w:szCs w:val="32"/>
        </w:rPr>
        <w:t xml:space="preserve"> </w:t>
      </w:r>
      <w:r>
        <w:rPr>
          <w:rFonts w:hint="eastAsia" w:ascii="仿宋_GB2312" w:hAnsi="仿宋" w:eastAsia="仿宋_GB2312" w:cs="仿宋"/>
          <w:sz w:val="32"/>
          <w:szCs w:val="32"/>
        </w:rPr>
        <w:t>高技能人才</w:t>
      </w:r>
      <w:r>
        <w:rPr>
          <w:rFonts w:hint="eastAsia" w:ascii="仿宋_GB2312" w:hAnsi="仿宋" w:eastAsia="仿宋_GB2312" w:cs="仿宋"/>
          <w:color w:val="333333"/>
          <w:sz w:val="32"/>
          <w:szCs w:val="32"/>
        </w:rPr>
        <w:t>实训基地申报单位应符合以下条件：</w:t>
      </w:r>
    </w:p>
    <w:p>
      <w:pPr>
        <w:pStyle w:val="5"/>
        <w:shd w:val="clear" w:color="auto" w:fill="FFFFFF"/>
        <w:spacing w:before="0" w:beforeAutospacing="0" w:after="0" w:afterAutospacing="0" w:line="600" w:lineRule="exact"/>
        <w:rPr>
          <w:rFonts w:ascii="仿宋_GB2312" w:hAnsi="仿宋" w:eastAsia="仿宋_GB2312" w:cs="仿宋"/>
          <w:color w:val="333333"/>
          <w:sz w:val="32"/>
          <w:szCs w:val="32"/>
        </w:rPr>
      </w:pPr>
      <w:r>
        <w:rPr>
          <w:rFonts w:hint="eastAsia" w:ascii="仿宋_GB2312" w:hAnsi="仿宋" w:eastAsia="仿宋_GB2312" w:cs="仿宋"/>
          <w:color w:val="333333"/>
          <w:sz w:val="32"/>
          <w:szCs w:val="32"/>
        </w:rPr>
        <w:t>　</w:t>
      </w:r>
      <w:r>
        <w:rPr>
          <w:rFonts w:ascii="仿宋_GB2312" w:hAnsi="仿宋" w:eastAsia="仿宋_GB2312" w:cs="仿宋"/>
          <w:color w:val="333333"/>
          <w:sz w:val="32"/>
          <w:szCs w:val="32"/>
        </w:rPr>
        <w:t xml:space="preserve"> </w:t>
      </w:r>
      <w:r>
        <w:rPr>
          <w:rFonts w:hint="eastAsia" w:ascii="仿宋_GB2312" w:hAnsi="仿宋" w:eastAsia="仿宋_GB2312" w:cs="仿宋"/>
          <w:color w:val="333333"/>
          <w:sz w:val="32"/>
          <w:szCs w:val="32"/>
        </w:rPr>
        <w:t>（一）管理能力</w:t>
      </w:r>
      <w:r>
        <w:rPr>
          <w:rFonts w:ascii="仿宋_GB2312" w:hAnsi="仿宋" w:eastAsia="仿宋_GB2312" w:cs="仿宋"/>
          <w:color w:val="333333"/>
          <w:sz w:val="32"/>
          <w:szCs w:val="32"/>
        </w:rPr>
        <w:t xml:space="preserve"> </w:t>
      </w:r>
    </w:p>
    <w:p>
      <w:pPr>
        <w:pStyle w:val="5"/>
        <w:shd w:val="clear" w:color="auto" w:fill="FFFFFF"/>
        <w:spacing w:before="0" w:beforeAutospacing="0" w:after="0" w:afterAutospacing="0" w:line="600" w:lineRule="exact"/>
        <w:ind w:firstLine="640" w:firstLineChars="200"/>
        <w:rPr>
          <w:rFonts w:ascii="仿宋_GB2312" w:hAnsi="仿宋" w:eastAsia="仿宋_GB2312" w:cs="仿宋"/>
          <w:color w:val="333333"/>
          <w:sz w:val="32"/>
          <w:szCs w:val="32"/>
        </w:rPr>
      </w:pPr>
      <w:r>
        <w:rPr>
          <w:rFonts w:hint="eastAsia" w:ascii="仿宋_GB2312" w:hAnsi="仿宋" w:eastAsia="仿宋_GB2312" w:cs="仿宋"/>
          <w:sz w:val="32"/>
          <w:szCs w:val="32"/>
        </w:rPr>
        <w:t>具有较强的管理能力和高效的组织管理体系。单位机构设置合理，部门职能和教职工岗位职责明确；已建立规范的培训管理、财务管理、资产管理、风险管理等制度；遵守国家有关法律法规，未发生违规违纪事件。</w:t>
      </w:r>
    </w:p>
    <w:p>
      <w:pPr>
        <w:spacing w:line="600" w:lineRule="exact"/>
        <w:ind w:firstLine="570"/>
        <w:rPr>
          <w:rFonts w:ascii="仿宋_GB2312" w:hAnsi="仿宋" w:eastAsia="仿宋_GB2312" w:cs="仿宋"/>
          <w:sz w:val="32"/>
          <w:szCs w:val="32"/>
        </w:rPr>
      </w:pPr>
      <w:r>
        <w:rPr>
          <w:rFonts w:hint="eastAsia" w:ascii="仿宋_GB2312" w:hAnsi="仿宋" w:eastAsia="仿宋_GB2312" w:cs="仿宋"/>
          <w:color w:val="333333"/>
          <w:sz w:val="32"/>
          <w:szCs w:val="32"/>
        </w:rPr>
        <w:t>（二）实训能力</w:t>
      </w:r>
    </w:p>
    <w:p>
      <w:pPr>
        <w:spacing w:line="600" w:lineRule="exact"/>
        <w:ind w:firstLine="640" w:firstLineChars="200"/>
        <w:rPr>
          <w:rFonts w:ascii="仿宋_GB2312" w:hAnsi="仿宋" w:eastAsia="仿宋_GB2312" w:cs="仿宋"/>
          <w:sz w:val="32"/>
          <w:szCs w:val="32"/>
        </w:rPr>
      </w:pPr>
      <w:r>
        <w:rPr>
          <w:rFonts w:ascii="仿宋_GB2312" w:hAnsi="仿宋" w:eastAsia="仿宋_GB2312" w:cs="仿宋"/>
          <w:sz w:val="32"/>
          <w:szCs w:val="32"/>
        </w:rPr>
        <w:t>1</w:t>
      </w:r>
      <w:r>
        <w:rPr>
          <w:rFonts w:hint="eastAsia" w:ascii="仿宋_GB2312" w:hAnsi="仿宋" w:eastAsia="仿宋_GB2312" w:cs="仿宋"/>
          <w:sz w:val="32"/>
          <w:szCs w:val="32"/>
        </w:rPr>
        <w:t>．实训场所及</w:t>
      </w:r>
      <w:r>
        <w:rPr>
          <w:rFonts w:hint="eastAsia" w:ascii="仿宋_GB2312" w:hAnsi="仿宋" w:eastAsia="仿宋_GB2312" w:cs="仿宋"/>
          <w:color w:val="000000"/>
          <w:sz w:val="32"/>
          <w:szCs w:val="32"/>
        </w:rPr>
        <w:t>设施设备均符合国家安全标准，符合高技能人才培训和职业技能鉴定的要求</w:t>
      </w:r>
      <w:r>
        <w:rPr>
          <w:rFonts w:hint="eastAsia" w:ascii="仿宋_GB2312" w:hAnsi="仿宋" w:eastAsia="仿宋_GB2312" w:cs="仿宋"/>
          <w:sz w:val="32"/>
          <w:szCs w:val="32"/>
        </w:rPr>
        <w:t>，具备年</w:t>
      </w:r>
      <w:r>
        <w:rPr>
          <w:rFonts w:hint="eastAsia" w:ascii="仿宋_GB2312" w:hAnsi="仿宋" w:eastAsia="仿宋_GB2312" w:cs="仿宋"/>
          <w:color w:val="333333"/>
          <w:sz w:val="32"/>
          <w:szCs w:val="32"/>
        </w:rPr>
        <w:t>实训</w:t>
      </w:r>
      <w:r>
        <w:rPr>
          <w:rFonts w:ascii="仿宋_GB2312" w:hAnsi="仿宋" w:eastAsia="仿宋_GB2312" w:cs="仿宋"/>
          <w:sz w:val="32"/>
          <w:szCs w:val="32"/>
        </w:rPr>
        <w:t>300</w:t>
      </w:r>
      <w:r>
        <w:rPr>
          <w:rFonts w:hint="eastAsia" w:ascii="仿宋_GB2312" w:hAnsi="仿宋" w:eastAsia="仿宋_GB2312" w:cs="仿宋"/>
          <w:sz w:val="32"/>
          <w:szCs w:val="32"/>
        </w:rPr>
        <w:t>名以上高技能人才的规模。主要实训设备达到国内先进水平。</w:t>
      </w:r>
    </w:p>
    <w:p>
      <w:pPr>
        <w:spacing w:line="600" w:lineRule="exact"/>
        <w:ind w:firstLine="640" w:firstLineChars="200"/>
        <w:rPr>
          <w:rFonts w:ascii="仿宋_GB2312" w:hAnsi="仿宋" w:eastAsia="仿宋_GB2312" w:cs="仿宋"/>
          <w:sz w:val="32"/>
          <w:szCs w:val="32"/>
        </w:rPr>
      </w:pPr>
      <w:r>
        <w:rPr>
          <w:rFonts w:ascii="仿宋_GB2312" w:hAnsi="仿宋" w:eastAsia="仿宋_GB2312" w:cs="仿宋"/>
          <w:sz w:val="32"/>
          <w:szCs w:val="32"/>
        </w:rPr>
        <w:t>2</w:t>
      </w:r>
      <w:r>
        <w:rPr>
          <w:rFonts w:hint="eastAsia" w:ascii="仿宋_GB2312" w:hAnsi="仿宋" w:eastAsia="仿宋_GB2312" w:cs="仿宋"/>
          <w:sz w:val="32"/>
          <w:szCs w:val="32"/>
        </w:rPr>
        <w:t>．具有</w:t>
      </w:r>
      <w:r>
        <w:rPr>
          <w:rFonts w:ascii="仿宋_GB2312" w:hAnsi="仿宋" w:eastAsia="仿宋_GB2312" w:cs="仿宋"/>
          <w:sz w:val="32"/>
          <w:szCs w:val="32"/>
        </w:rPr>
        <w:t>3—5</w:t>
      </w:r>
      <w:r>
        <w:rPr>
          <w:rFonts w:hint="eastAsia" w:ascii="仿宋_GB2312" w:hAnsi="仿宋" w:eastAsia="仿宋_GB2312" w:cs="仿宋"/>
          <w:sz w:val="32"/>
          <w:szCs w:val="32"/>
        </w:rPr>
        <w:t>个符合我市主导产业、潜力产业、新兴产业、现代服务业发展方向的特色专业。基地建设完成后，围绕开设的特色专业，从</w:t>
      </w:r>
      <w:r>
        <w:rPr>
          <w:rFonts w:hint="eastAsia" w:ascii="仿宋_GB2312" w:hAnsi="仿宋" w:eastAsia="仿宋_GB2312" w:cs="仿宋"/>
          <w:color w:val="333333"/>
          <w:sz w:val="32"/>
          <w:szCs w:val="32"/>
        </w:rPr>
        <w:t>实训</w:t>
      </w:r>
      <w:r>
        <w:rPr>
          <w:rFonts w:hint="eastAsia" w:ascii="仿宋_GB2312" w:hAnsi="仿宋" w:eastAsia="仿宋_GB2312" w:cs="仿宋"/>
          <w:sz w:val="32"/>
          <w:szCs w:val="32"/>
        </w:rPr>
        <w:t>模式、课程设置、教材开发、师资建设、</w:t>
      </w:r>
      <w:r>
        <w:rPr>
          <w:rFonts w:hint="eastAsia" w:ascii="仿宋_GB2312" w:hAnsi="仿宋" w:eastAsia="仿宋_GB2312" w:cs="仿宋"/>
          <w:color w:val="333333"/>
          <w:sz w:val="32"/>
          <w:szCs w:val="32"/>
        </w:rPr>
        <w:t>实训</w:t>
      </w:r>
      <w:r>
        <w:rPr>
          <w:rFonts w:hint="eastAsia" w:ascii="仿宋_GB2312" w:hAnsi="仿宋" w:eastAsia="仿宋_GB2312" w:cs="仿宋"/>
          <w:sz w:val="32"/>
          <w:szCs w:val="32"/>
        </w:rPr>
        <w:t>装备和能力评价等方面，逐步建成较为完备、系统的高技能人才</w:t>
      </w:r>
      <w:r>
        <w:rPr>
          <w:rFonts w:hint="eastAsia" w:ascii="仿宋_GB2312" w:hAnsi="仿宋" w:eastAsia="仿宋_GB2312" w:cs="仿宋"/>
          <w:color w:val="333333"/>
          <w:sz w:val="32"/>
          <w:szCs w:val="32"/>
        </w:rPr>
        <w:t>实训</w:t>
      </w:r>
      <w:r>
        <w:rPr>
          <w:rFonts w:hint="eastAsia" w:ascii="仿宋_GB2312" w:hAnsi="仿宋" w:eastAsia="仿宋_GB2312" w:cs="仿宋"/>
          <w:sz w:val="32"/>
          <w:szCs w:val="32"/>
        </w:rPr>
        <w:t>体系。</w:t>
      </w:r>
    </w:p>
    <w:p>
      <w:pPr>
        <w:spacing w:line="600" w:lineRule="exact"/>
        <w:ind w:firstLine="640" w:firstLineChars="200"/>
        <w:rPr>
          <w:rFonts w:ascii="仿宋_GB2312" w:hAnsi="仿宋" w:eastAsia="仿宋_GB2312" w:cs="仿宋"/>
          <w:sz w:val="32"/>
          <w:szCs w:val="32"/>
        </w:rPr>
      </w:pPr>
      <w:r>
        <w:rPr>
          <w:rFonts w:ascii="仿宋_GB2312" w:hAnsi="仿宋" w:eastAsia="仿宋_GB2312" w:cs="仿宋"/>
          <w:sz w:val="32"/>
          <w:szCs w:val="32"/>
        </w:rPr>
        <w:t>3</w:t>
      </w:r>
      <w:r>
        <w:rPr>
          <w:rFonts w:hint="eastAsia" w:ascii="仿宋_GB2312" w:hAnsi="仿宋" w:eastAsia="仿宋_GB2312" w:cs="仿宋"/>
          <w:sz w:val="32"/>
          <w:szCs w:val="32"/>
        </w:rPr>
        <w:t>．年</w:t>
      </w:r>
      <w:r>
        <w:rPr>
          <w:rFonts w:hint="eastAsia" w:ascii="仿宋_GB2312" w:hAnsi="仿宋" w:eastAsia="仿宋_GB2312" w:cs="仿宋"/>
          <w:color w:val="333333"/>
          <w:sz w:val="32"/>
          <w:szCs w:val="32"/>
        </w:rPr>
        <w:t>实训</w:t>
      </w:r>
      <w:r>
        <w:rPr>
          <w:rFonts w:hint="eastAsia" w:ascii="仿宋_GB2312" w:hAnsi="仿宋" w:eastAsia="仿宋_GB2312" w:cs="仿宋"/>
          <w:sz w:val="32"/>
          <w:szCs w:val="32"/>
        </w:rPr>
        <w:t>规模不少于</w:t>
      </w:r>
      <w:r>
        <w:rPr>
          <w:rFonts w:ascii="仿宋_GB2312" w:hAnsi="仿宋" w:eastAsia="仿宋_GB2312" w:cs="仿宋"/>
          <w:sz w:val="32"/>
          <w:szCs w:val="32"/>
        </w:rPr>
        <w:t>1000</w:t>
      </w:r>
      <w:r>
        <w:rPr>
          <w:rFonts w:hint="eastAsia" w:ascii="仿宋_GB2312" w:hAnsi="仿宋" w:eastAsia="仿宋_GB2312" w:cs="仿宋"/>
          <w:sz w:val="32"/>
          <w:szCs w:val="32"/>
        </w:rPr>
        <w:t>人次，其中，高级工以上培训占</w:t>
      </w:r>
      <w:r>
        <w:rPr>
          <w:rFonts w:ascii="仿宋_GB2312" w:hAnsi="仿宋" w:eastAsia="仿宋_GB2312" w:cs="仿宋"/>
          <w:sz w:val="32"/>
          <w:szCs w:val="32"/>
        </w:rPr>
        <w:t>20%</w:t>
      </w:r>
      <w:r>
        <w:rPr>
          <w:rFonts w:hint="eastAsia" w:ascii="仿宋_GB2312" w:hAnsi="仿宋" w:eastAsia="仿宋_GB2312" w:cs="仿宋"/>
          <w:sz w:val="32"/>
          <w:szCs w:val="32"/>
        </w:rPr>
        <w:t>以上。基地建设实施两年后，高级工年</w:t>
      </w:r>
      <w:r>
        <w:rPr>
          <w:rFonts w:hint="eastAsia" w:ascii="仿宋_GB2312" w:hAnsi="仿宋" w:eastAsia="仿宋_GB2312" w:cs="仿宋"/>
          <w:color w:val="333333"/>
          <w:sz w:val="32"/>
          <w:szCs w:val="32"/>
        </w:rPr>
        <w:t>实训</w:t>
      </w:r>
      <w:r>
        <w:rPr>
          <w:rFonts w:hint="eastAsia" w:ascii="仿宋_GB2312" w:hAnsi="仿宋" w:eastAsia="仿宋_GB2312" w:cs="仿宋"/>
          <w:sz w:val="32"/>
          <w:szCs w:val="32"/>
        </w:rPr>
        <w:t>能力不少于</w:t>
      </w:r>
      <w:r>
        <w:rPr>
          <w:rFonts w:ascii="仿宋_GB2312" w:hAnsi="仿宋" w:eastAsia="仿宋_GB2312" w:cs="仿宋"/>
          <w:sz w:val="32"/>
          <w:szCs w:val="32"/>
        </w:rPr>
        <w:t>500</w:t>
      </w:r>
      <w:r>
        <w:rPr>
          <w:rFonts w:hint="eastAsia" w:ascii="仿宋_GB2312" w:hAnsi="仿宋" w:eastAsia="仿宋_GB2312" w:cs="仿宋"/>
          <w:sz w:val="32"/>
          <w:szCs w:val="32"/>
        </w:rPr>
        <w:t>人。</w:t>
      </w:r>
    </w:p>
    <w:p>
      <w:pPr>
        <w:pStyle w:val="5"/>
        <w:shd w:val="clear" w:color="auto" w:fill="FFFFFF"/>
        <w:spacing w:before="0" w:beforeAutospacing="0" w:after="0" w:afterAutospacing="0" w:line="600" w:lineRule="exact"/>
        <w:ind w:firstLine="555"/>
        <w:rPr>
          <w:rFonts w:ascii="仿宋_GB2312" w:hAnsi="仿宋" w:eastAsia="仿宋_GB2312" w:cs="仿宋"/>
          <w:color w:val="333333"/>
          <w:sz w:val="32"/>
          <w:szCs w:val="32"/>
        </w:rPr>
      </w:pPr>
      <w:r>
        <w:rPr>
          <w:rFonts w:hint="eastAsia" w:ascii="仿宋_GB2312" w:hAnsi="仿宋" w:eastAsia="仿宋_GB2312" w:cs="仿宋"/>
          <w:color w:val="333333"/>
          <w:sz w:val="32"/>
          <w:szCs w:val="32"/>
        </w:rPr>
        <w:t>（三）师资配置</w:t>
      </w:r>
      <w:r>
        <w:rPr>
          <w:rFonts w:ascii="仿宋_GB2312" w:hAnsi="仿宋" w:eastAsia="仿宋_GB2312" w:cs="仿宋"/>
          <w:color w:val="333333"/>
          <w:sz w:val="32"/>
          <w:szCs w:val="32"/>
        </w:rPr>
        <w:t xml:space="preserve"> </w:t>
      </w:r>
    </w:p>
    <w:p>
      <w:pPr>
        <w:pStyle w:val="5"/>
        <w:shd w:val="clear" w:color="auto" w:fill="FFFFFF"/>
        <w:spacing w:before="0" w:beforeAutospacing="0" w:after="0" w:afterAutospacing="0" w:line="600" w:lineRule="exact"/>
        <w:ind w:firstLine="555"/>
        <w:rPr>
          <w:rFonts w:ascii="仿宋_GB2312" w:hAnsi="仿宋" w:eastAsia="仿宋_GB2312" w:cs="仿宋"/>
          <w:color w:val="333333"/>
          <w:sz w:val="32"/>
          <w:szCs w:val="32"/>
        </w:rPr>
      </w:pPr>
      <w:r>
        <w:rPr>
          <w:rFonts w:hint="eastAsia" w:ascii="仿宋_GB2312" w:hAnsi="仿宋" w:eastAsia="仿宋_GB2312" w:cs="仿宋"/>
          <w:color w:val="000000"/>
          <w:sz w:val="32"/>
          <w:szCs w:val="32"/>
        </w:rPr>
        <w:t>师资结构合理，拥有一支稳定的教学水平、技能操作能力等综合素质较强的实训教师队伍和职业技能鉴定考评员队伍。实习指导教师应具备相关职业高级技能以上职业资格或中级以上专业技术资格。其中，具备高级实习指导教师职称或技师、高级技师职业资格的占</w:t>
      </w:r>
      <w:r>
        <w:rPr>
          <w:rFonts w:ascii="仿宋_GB2312" w:hAnsi="仿宋" w:eastAsia="仿宋_GB2312" w:cs="仿宋"/>
          <w:color w:val="000000"/>
          <w:sz w:val="32"/>
          <w:szCs w:val="32"/>
        </w:rPr>
        <w:t>45%</w:t>
      </w:r>
      <w:r>
        <w:rPr>
          <w:rFonts w:hint="eastAsia" w:ascii="仿宋_GB2312" w:hAnsi="仿宋" w:eastAsia="仿宋_GB2312" w:cs="仿宋"/>
          <w:color w:val="000000"/>
          <w:sz w:val="32"/>
          <w:szCs w:val="32"/>
        </w:rPr>
        <w:t>以上。</w:t>
      </w:r>
    </w:p>
    <w:p>
      <w:pPr>
        <w:pStyle w:val="5"/>
        <w:shd w:val="clear" w:color="auto" w:fill="FFFFFF"/>
        <w:spacing w:before="0" w:beforeAutospacing="0" w:after="0" w:afterAutospacing="0" w:line="600" w:lineRule="exact"/>
        <w:ind w:firstLine="555"/>
        <w:rPr>
          <w:rFonts w:ascii="仿宋_GB2312" w:hAnsi="仿宋" w:eastAsia="仿宋_GB2312" w:cs="仿宋"/>
          <w:color w:val="000000"/>
          <w:sz w:val="32"/>
          <w:szCs w:val="32"/>
        </w:rPr>
      </w:pPr>
      <w:r>
        <w:rPr>
          <w:rFonts w:hint="eastAsia" w:ascii="仿宋_GB2312" w:hAnsi="仿宋" w:eastAsia="仿宋_GB2312" w:cs="仿宋"/>
          <w:color w:val="000000"/>
          <w:sz w:val="32"/>
          <w:szCs w:val="32"/>
        </w:rPr>
        <w:t>（四）创新能力</w:t>
      </w:r>
    </w:p>
    <w:p>
      <w:pPr>
        <w:pStyle w:val="5"/>
        <w:shd w:val="clear" w:color="auto" w:fill="FFFFFF"/>
        <w:spacing w:before="0" w:beforeAutospacing="0" w:after="0" w:afterAutospacing="0" w:line="600" w:lineRule="exact"/>
        <w:ind w:firstLine="555"/>
        <w:rPr>
          <w:rFonts w:ascii="仿宋_GB2312" w:hAnsi="仿宋" w:eastAsia="仿宋_GB2312" w:cs="仿宋"/>
          <w:sz w:val="32"/>
          <w:szCs w:val="32"/>
        </w:rPr>
      </w:pPr>
      <w:r>
        <w:rPr>
          <w:rFonts w:hint="eastAsia" w:ascii="仿宋_GB2312" w:hAnsi="仿宋" w:eastAsia="仿宋_GB2312" w:cs="仿宋"/>
          <w:color w:val="000000"/>
          <w:sz w:val="32"/>
          <w:szCs w:val="32"/>
        </w:rPr>
        <w:t>具有课程和教材开发、技能竞赛和成果展示等创新能力。</w:t>
      </w:r>
      <w:r>
        <w:rPr>
          <w:rFonts w:hint="eastAsia" w:ascii="仿宋_GB2312" w:hAnsi="仿宋" w:eastAsia="仿宋_GB2312" w:cs="仿宋"/>
          <w:color w:val="333333"/>
          <w:sz w:val="32"/>
          <w:szCs w:val="32"/>
        </w:rPr>
        <w:t>实训</w:t>
      </w:r>
      <w:r>
        <w:rPr>
          <w:rFonts w:hint="eastAsia" w:ascii="仿宋_GB2312" w:hAnsi="仿宋" w:eastAsia="仿宋_GB2312" w:cs="仿宋"/>
          <w:sz w:val="32"/>
          <w:szCs w:val="32"/>
        </w:rPr>
        <w:t>课程以工作任务为导向、以学员职业能力提升为核心，体现专业学习和工作实践紧密结合；在教材开发方面，建立起与高技能人才培养需求相适应的开发机制；</w:t>
      </w:r>
      <w:r>
        <w:rPr>
          <w:rFonts w:hint="eastAsia" w:ascii="仿宋_GB2312" w:hAnsi="仿宋" w:eastAsia="仿宋_GB2312" w:cs="仿宋"/>
          <w:color w:val="000000"/>
          <w:sz w:val="32"/>
          <w:szCs w:val="32"/>
        </w:rPr>
        <w:t>具备</w:t>
      </w:r>
      <w:r>
        <w:rPr>
          <w:rFonts w:ascii="仿宋_GB2312" w:hAnsi="仿宋" w:eastAsia="仿宋_GB2312" w:cs="仿宋"/>
          <w:color w:val="000000"/>
          <w:sz w:val="32"/>
          <w:szCs w:val="32"/>
        </w:rPr>
        <w:t>1-2</w:t>
      </w:r>
      <w:r>
        <w:rPr>
          <w:rFonts w:hint="eastAsia" w:ascii="仿宋_GB2312" w:hAnsi="仿宋" w:eastAsia="仿宋_GB2312" w:cs="仿宋"/>
          <w:color w:val="000000"/>
          <w:sz w:val="32"/>
          <w:szCs w:val="32"/>
        </w:rPr>
        <w:t>个新职业（工种）的开发能力；每两年开展一次职业技能竞赛、技能成果展示等工作。</w:t>
      </w:r>
    </w:p>
    <w:p>
      <w:pPr>
        <w:spacing w:line="600" w:lineRule="exact"/>
        <w:ind w:firstLine="643" w:firstLineChars="200"/>
        <w:rPr>
          <w:rFonts w:ascii="仿宋_GB2312" w:hAnsi="仿宋" w:eastAsia="仿宋_GB2312" w:cs="仿宋"/>
          <w:sz w:val="32"/>
          <w:szCs w:val="32"/>
        </w:rPr>
      </w:pPr>
      <w:r>
        <w:rPr>
          <w:rFonts w:hint="eastAsia" w:ascii="仿宋_GB2312" w:hAnsi="仿宋" w:eastAsia="仿宋_GB2312" w:cs="仿宋"/>
          <w:b/>
          <w:color w:val="333333"/>
          <w:sz w:val="32"/>
          <w:szCs w:val="32"/>
        </w:rPr>
        <w:t>第六条</w:t>
      </w:r>
      <w:r>
        <w:rPr>
          <w:rFonts w:ascii="仿宋_GB2312" w:hAnsi="仿宋" w:eastAsia="仿宋_GB2312" w:cs="仿宋"/>
          <w:color w:val="333333"/>
          <w:sz w:val="32"/>
          <w:szCs w:val="32"/>
        </w:rPr>
        <w:t xml:space="preserve"> </w:t>
      </w:r>
      <w:r>
        <w:rPr>
          <w:rFonts w:hint="eastAsia" w:ascii="仿宋_GB2312" w:hAnsi="仿宋" w:eastAsia="仿宋_GB2312" w:cs="仿宋"/>
          <w:color w:val="000000"/>
          <w:sz w:val="32"/>
          <w:szCs w:val="32"/>
        </w:rPr>
        <w:t>符合相应条件的</w:t>
      </w:r>
      <w:r>
        <w:rPr>
          <w:rFonts w:hint="eastAsia" w:ascii="仿宋_GB2312" w:hAnsi="仿宋" w:eastAsia="仿宋_GB2312" w:cs="仿宋"/>
          <w:color w:val="333333"/>
          <w:sz w:val="32"/>
          <w:szCs w:val="32"/>
        </w:rPr>
        <w:t>技工院校（含职业院校）、职业培训机构、公共实训基地以及大中型企业技能培训中心</w:t>
      </w:r>
      <w:r>
        <w:rPr>
          <w:rFonts w:hint="eastAsia" w:ascii="仿宋_GB2312" w:hAnsi="仿宋" w:eastAsia="仿宋_GB2312" w:cs="仿宋"/>
          <w:color w:val="000000"/>
          <w:sz w:val="32"/>
          <w:szCs w:val="32"/>
        </w:rPr>
        <w:t>，根据自身实际情况，按照自愿原则，以书面形式向</w:t>
      </w:r>
      <w:r>
        <w:rPr>
          <w:rFonts w:hint="eastAsia" w:ascii="仿宋_GB2312" w:hAnsi="仿宋" w:eastAsia="仿宋_GB2312" w:cs="仿宋"/>
          <w:color w:val="333333"/>
          <w:sz w:val="32"/>
          <w:szCs w:val="32"/>
        </w:rPr>
        <w:t>市人力资源和社会保障局</w:t>
      </w:r>
      <w:r>
        <w:rPr>
          <w:rFonts w:hint="eastAsia" w:ascii="仿宋_GB2312" w:hAnsi="仿宋" w:eastAsia="仿宋_GB2312" w:cs="仿宋"/>
          <w:color w:val="000000"/>
          <w:sz w:val="32"/>
          <w:szCs w:val="32"/>
        </w:rPr>
        <w:t>报送申报材料，申报材料主要包括：</w:t>
      </w:r>
    </w:p>
    <w:p>
      <w:pPr>
        <w:pStyle w:val="12"/>
        <w:shd w:val="clear" w:color="auto" w:fill="FFFFFF"/>
        <w:spacing w:before="0" w:beforeAutospacing="0" w:after="0" w:afterAutospacing="0" w:line="600" w:lineRule="exact"/>
        <w:ind w:firstLine="620" w:firstLineChars="194"/>
        <w:rPr>
          <w:rFonts w:ascii="仿宋_GB2312" w:hAnsi="仿宋" w:eastAsia="仿宋_GB2312" w:cs="仿宋"/>
          <w:color w:val="000000"/>
          <w:sz w:val="32"/>
          <w:szCs w:val="32"/>
        </w:rPr>
      </w:pPr>
      <w:r>
        <w:rPr>
          <w:rFonts w:hint="eastAsia" w:ascii="仿宋_GB2312" w:hAnsi="仿宋" w:eastAsia="仿宋_GB2312" w:cs="仿宋"/>
          <w:color w:val="000000"/>
          <w:sz w:val="32"/>
          <w:szCs w:val="32"/>
        </w:rPr>
        <w:t>（一）申报材料</w:t>
      </w:r>
    </w:p>
    <w:p>
      <w:pPr>
        <w:spacing w:line="600" w:lineRule="exact"/>
        <w:ind w:firstLine="640" w:firstLineChars="200"/>
        <w:rPr>
          <w:rFonts w:ascii="仿宋_GB2312" w:hAnsi="仿宋" w:eastAsia="仿宋_GB2312" w:cs="仿宋"/>
          <w:sz w:val="32"/>
          <w:szCs w:val="32"/>
        </w:rPr>
      </w:pPr>
      <w:r>
        <w:rPr>
          <w:rFonts w:ascii="仿宋_GB2312" w:hAnsi="仿宋" w:eastAsia="仿宋_GB2312" w:cs="仿宋"/>
          <w:sz w:val="32"/>
          <w:szCs w:val="32"/>
        </w:rPr>
        <w:t>1</w:t>
      </w:r>
      <w:r>
        <w:rPr>
          <w:rFonts w:hint="eastAsia" w:ascii="仿宋_GB2312" w:hAnsi="仿宋" w:eastAsia="仿宋_GB2312" w:cs="仿宋"/>
          <w:sz w:val="32"/>
          <w:szCs w:val="32"/>
        </w:rPr>
        <w:t>、《太原市高技能人才</w:t>
      </w:r>
      <w:r>
        <w:rPr>
          <w:rFonts w:hint="eastAsia" w:ascii="仿宋_GB2312" w:hAnsi="仿宋" w:eastAsia="仿宋_GB2312" w:cs="仿宋"/>
          <w:color w:val="333333"/>
          <w:sz w:val="32"/>
          <w:szCs w:val="32"/>
        </w:rPr>
        <w:t>实训</w:t>
      </w:r>
      <w:r>
        <w:rPr>
          <w:rFonts w:hint="eastAsia" w:ascii="仿宋_GB2312" w:hAnsi="仿宋" w:eastAsia="仿宋_GB2312" w:cs="仿宋"/>
          <w:sz w:val="32"/>
          <w:szCs w:val="32"/>
        </w:rPr>
        <w:t>基地申报书》</w:t>
      </w:r>
    </w:p>
    <w:p>
      <w:pPr>
        <w:spacing w:line="600" w:lineRule="exact"/>
        <w:ind w:firstLine="640" w:firstLineChars="200"/>
        <w:rPr>
          <w:rFonts w:ascii="仿宋_GB2312" w:hAnsi="仿宋" w:eastAsia="仿宋_GB2312" w:cs="仿宋"/>
          <w:sz w:val="32"/>
          <w:szCs w:val="32"/>
        </w:rPr>
      </w:pPr>
      <w:r>
        <w:rPr>
          <w:rFonts w:ascii="仿宋_GB2312" w:hAnsi="仿宋" w:eastAsia="仿宋_GB2312" w:cs="仿宋"/>
          <w:sz w:val="32"/>
          <w:szCs w:val="32"/>
        </w:rPr>
        <w:t>2</w:t>
      </w:r>
      <w:r>
        <w:rPr>
          <w:rFonts w:hint="eastAsia" w:ascii="仿宋_GB2312" w:hAnsi="仿宋" w:eastAsia="仿宋_GB2312" w:cs="仿宋"/>
          <w:sz w:val="32"/>
          <w:szCs w:val="32"/>
        </w:rPr>
        <w:t>、</w:t>
      </w:r>
      <w:r>
        <w:rPr>
          <w:rFonts w:hint="eastAsia" w:ascii="仿宋_GB2312" w:hAnsi="仿宋" w:eastAsia="仿宋_GB2312" w:cs="仿宋"/>
          <w:sz w:val="32"/>
          <w:szCs w:val="32"/>
          <w:lang w:eastAsia="zh-CN"/>
        </w:rPr>
        <w:t>《太原</w:t>
      </w:r>
      <w:r>
        <w:rPr>
          <w:rFonts w:hint="eastAsia" w:ascii="仿宋_GB2312" w:hAnsi="仿宋" w:eastAsia="仿宋_GB2312" w:cs="仿宋"/>
          <w:sz w:val="32"/>
          <w:szCs w:val="32"/>
        </w:rPr>
        <w:t>市高技能人才</w:t>
      </w:r>
      <w:r>
        <w:rPr>
          <w:rFonts w:hint="eastAsia" w:ascii="仿宋_GB2312" w:hAnsi="仿宋" w:eastAsia="仿宋_GB2312" w:cs="仿宋"/>
          <w:color w:val="333333"/>
          <w:sz w:val="32"/>
          <w:szCs w:val="32"/>
        </w:rPr>
        <w:t>实训</w:t>
      </w:r>
      <w:r>
        <w:rPr>
          <w:rFonts w:hint="eastAsia" w:ascii="仿宋_GB2312" w:hAnsi="仿宋" w:eastAsia="仿宋_GB2312" w:cs="仿宋"/>
          <w:sz w:val="32"/>
          <w:szCs w:val="32"/>
        </w:rPr>
        <w:t>基地实施方案》</w:t>
      </w:r>
    </w:p>
    <w:p>
      <w:pPr>
        <w:pStyle w:val="12"/>
        <w:shd w:val="clear" w:color="auto" w:fill="FFFFFF"/>
        <w:spacing w:before="0" w:beforeAutospacing="0" w:after="0" w:afterAutospacing="0" w:line="600" w:lineRule="exact"/>
        <w:ind w:firstLine="405"/>
        <w:rPr>
          <w:rFonts w:ascii="仿宋_GB2312" w:hAnsi="仿宋" w:eastAsia="仿宋_GB2312" w:cs="仿宋"/>
          <w:color w:val="000000"/>
          <w:sz w:val="32"/>
          <w:szCs w:val="32"/>
        </w:rPr>
      </w:pPr>
      <w:r>
        <w:rPr>
          <w:rFonts w:hint="eastAsia" w:ascii="仿宋_GB2312" w:hAnsi="仿宋" w:eastAsia="仿宋_GB2312" w:cs="仿宋"/>
          <w:color w:val="000000"/>
          <w:sz w:val="32"/>
          <w:szCs w:val="32"/>
        </w:rPr>
        <w:t>（二）人员材料</w:t>
      </w:r>
    </w:p>
    <w:p>
      <w:pPr>
        <w:pStyle w:val="12"/>
        <w:shd w:val="clear" w:color="auto" w:fill="FFFFFF"/>
        <w:spacing w:before="0" w:beforeAutospacing="0" w:after="0" w:afterAutospacing="0" w:line="60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花名册、师资简历；聘用合同或劳动合同、学历证书、职业资格证书、专业技术职称证书（原件及复印件，复印件需加盖申请单位公章）。</w:t>
      </w:r>
    </w:p>
    <w:p>
      <w:pPr>
        <w:pStyle w:val="12"/>
        <w:shd w:val="clear" w:color="auto" w:fill="FFFFFF"/>
        <w:spacing w:before="0" w:beforeAutospacing="0" w:after="0" w:afterAutospacing="0" w:line="600" w:lineRule="exact"/>
        <w:ind w:firstLine="405"/>
        <w:rPr>
          <w:rFonts w:ascii="仿宋_GB2312" w:hAnsi="仿宋" w:eastAsia="仿宋_GB2312" w:cs="仿宋"/>
          <w:color w:val="000000"/>
          <w:sz w:val="32"/>
          <w:szCs w:val="32"/>
        </w:rPr>
      </w:pPr>
      <w:r>
        <w:rPr>
          <w:rFonts w:hint="eastAsia" w:ascii="仿宋_GB2312" w:hAnsi="仿宋" w:eastAsia="仿宋_GB2312" w:cs="仿宋"/>
          <w:color w:val="000000"/>
          <w:sz w:val="32"/>
          <w:szCs w:val="32"/>
        </w:rPr>
        <w:t>（三）设备材料</w:t>
      </w:r>
    </w:p>
    <w:p>
      <w:pPr>
        <w:pStyle w:val="12"/>
        <w:shd w:val="clear" w:color="auto" w:fill="FFFFFF"/>
        <w:spacing w:before="0" w:beforeAutospacing="0" w:after="0" w:afterAutospacing="0" w:line="600" w:lineRule="exact"/>
        <w:ind w:firstLine="620" w:firstLineChars="194"/>
        <w:rPr>
          <w:rFonts w:ascii="仿宋_GB2312" w:hAnsi="仿宋" w:eastAsia="仿宋_GB2312" w:cs="仿宋"/>
          <w:color w:val="000000"/>
          <w:sz w:val="32"/>
          <w:szCs w:val="32"/>
        </w:rPr>
      </w:pPr>
      <w:r>
        <w:rPr>
          <w:rFonts w:hint="eastAsia" w:ascii="仿宋_GB2312" w:hAnsi="仿宋" w:eastAsia="仿宋_GB2312" w:cs="仿宋"/>
          <w:color w:val="000000"/>
          <w:sz w:val="32"/>
          <w:szCs w:val="32"/>
        </w:rPr>
        <w:t>实训设备名称、型号及数量等；实训设备使用管理制度、财务管理制度、固定资产管理制度等管理制度。</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对申报材料弄虚作假或存有不实情况的，一经核实，将取消其申报资格。</w:t>
      </w:r>
    </w:p>
    <w:p>
      <w:pPr>
        <w:spacing w:line="600" w:lineRule="exact"/>
        <w:ind w:firstLine="643" w:firstLineChars="200"/>
        <w:rPr>
          <w:rFonts w:ascii="仿宋_GB2312" w:hAnsi="仿宋" w:eastAsia="仿宋_GB2312" w:cs="仿宋"/>
          <w:color w:val="333333"/>
          <w:sz w:val="32"/>
          <w:szCs w:val="32"/>
        </w:rPr>
      </w:pPr>
      <w:r>
        <w:rPr>
          <w:rFonts w:hint="eastAsia" w:ascii="仿宋_GB2312" w:hAnsi="仿宋" w:eastAsia="仿宋_GB2312" w:cs="仿宋"/>
          <w:b/>
          <w:color w:val="333333"/>
          <w:sz w:val="32"/>
          <w:szCs w:val="32"/>
        </w:rPr>
        <w:t>第七条</w:t>
      </w:r>
      <w:r>
        <w:rPr>
          <w:rFonts w:ascii="仿宋_GB2312" w:hAnsi="仿宋" w:eastAsia="仿宋_GB2312" w:cs="仿宋"/>
          <w:color w:val="333333"/>
          <w:sz w:val="32"/>
          <w:szCs w:val="32"/>
        </w:rPr>
        <w:t xml:space="preserve"> </w:t>
      </w:r>
      <w:r>
        <w:rPr>
          <w:rFonts w:hint="eastAsia" w:ascii="仿宋_GB2312" w:hAnsi="仿宋" w:eastAsia="仿宋_GB2312" w:cs="仿宋"/>
          <w:color w:val="333333"/>
          <w:sz w:val="32"/>
          <w:szCs w:val="32"/>
        </w:rPr>
        <w:t>市人力资源和社会保障局</w:t>
      </w:r>
      <w:r>
        <w:rPr>
          <w:rFonts w:hint="eastAsia" w:ascii="仿宋_GB2312" w:hAnsi="仿宋" w:eastAsia="仿宋_GB2312" w:cs="仿宋"/>
          <w:sz w:val="32"/>
          <w:szCs w:val="32"/>
        </w:rPr>
        <w:t>按照公平、公正、公开原则，组织专家开展全市高技能人才</w:t>
      </w:r>
      <w:r>
        <w:rPr>
          <w:rFonts w:hint="eastAsia" w:ascii="仿宋_GB2312" w:hAnsi="仿宋" w:eastAsia="仿宋_GB2312" w:cs="仿宋"/>
          <w:color w:val="333333"/>
          <w:sz w:val="32"/>
          <w:szCs w:val="32"/>
        </w:rPr>
        <w:t>实训</w:t>
      </w:r>
      <w:r>
        <w:rPr>
          <w:rFonts w:hint="eastAsia" w:ascii="仿宋_GB2312" w:hAnsi="仿宋" w:eastAsia="仿宋_GB2312" w:cs="仿宋"/>
          <w:sz w:val="32"/>
          <w:szCs w:val="32"/>
        </w:rPr>
        <w:t>基地评审、遴选工作。在评审和遴选工作中，要严格把握标准、规范操作程序，确保入选高技能人才</w:t>
      </w:r>
      <w:r>
        <w:rPr>
          <w:rFonts w:hint="eastAsia" w:ascii="仿宋_GB2312" w:hAnsi="仿宋" w:eastAsia="仿宋_GB2312" w:cs="仿宋"/>
          <w:color w:val="333333"/>
          <w:sz w:val="32"/>
          <w:szCs w:val="32"/>
        </w:rPr>
        <w:t>实训基地</w:t>
      </w:r>
      <w:r>
        <w:rPr>
          <w:rFonts w:hint="eastAsia" w:ascii="仿宋_GB2312" w:hAnsi="仿宋" w:eastAsia="仿宋_GB2312" w:cs="仿宋"/>
          <w:sz w:val="32"/>
          <w:szCs w:val="32"/>
        </w:rPr>
        <w:t>单位符合条件。</w:t>
      </w:r>
    </w:p>
    <w:p>
      <w:pPr>
        <w:pStyle w:val="5"/>
        <w:shd w:val="clear" w:color="auto" w:fill="FFFFFF"/>
        <w:spacing w:before="0" w:beforeAutospacing="0" w:after="0" w:afterAutospacing="0" w:line="600" w:lineRule="exact"/>
        <w:rPr>
          <w:rFonts w:ascii="仿宋_GB2312" w:hAnsi="仿宋" w:eastAsia="仿宋_GB2312" w:cs="仿宋"/>
          <w:color w:val="333333"/>
          <w:sz w:val="32"/>
          <w:szCs w:val="32"/>
        </w:rPr>
      </w:pPr>
      <w:r>
        <w:rPr>
          <w:rFonts w:hint="eastAsia" w:ascii="仿宋_GB2312" w:hAnsi="仿宋" w:eastAsia="仿宋_GB2312" w:cs="仿宋"/>
          <w:color w:val="333333"/>
          <w:sz w:val="32"/>
          <w:szCs w:val="32"/>
        </w:rPr>
        <w:t>　　（一）组建评审专家组。根据申报情况，组织职业培训方面的专家成立评审专家组。</w:t>
      </w:r>
    </w:p>
    <w:p>
      <w:pPr>
        <w:pStyle w:val="5"/>
        <w:shd w:val="clear" w:color="auto" w:fill="FFFFFF"/>
        <w:spacing w:before="0" w:beforeAutospacing="0" w:after="0" w:afterAutospacing="0" w:line="600" w:lineRule="exact"/>
        <w:rPr>
          <w:rFonts w:ascii="仿宋_GB2312" w:hAnsi="仿宋" w:eastAsia="仿宋_GB2312" w:cs="仿宋"/>
          <w:color w:val="333333"/>
          <w:sz w:val="32"/>
          <w:szCs w:val="32"/>
        </w:rPr>
      </w:pPr>
      <w:r>
        <w:rPr>
          <w:rFonts w:hint="eastAsia" w:ascii="仿宋_GB2312" w:hAnsi="仿宋" w:eastAsia="仿宋_GB2312" w:cs="仿宋"/>
          <w:color w:val="333333"/>
          <w:sz w:val="32"/>
          <w:szCs w:val="32"/>
        </w:rPr>
        <w:t>　</w:t>
      </w:r>
      <w:r>
        <w:rPr>
          <w:rFonts w:ascii="仿宋_GB2312" w:hAnsi="仿宋" w:eastAsia="仿宋_GB2312" w:cs="仿宋"/>
          <w:color w:val="333333"/>
          <w:sz w:val="32"/>
          <w:szCs w:val="32"/>
        </w:rPr>
        <w:t xml:space="preserve">  </w:t>
      </w:r>
      <w:r>
        <w:rPr>
          <w:rFonts w:hint="eastAsia" w:ascii="仿宋_GB2312" w:hAnsi="仿宋" w:eastAsia="仿宋_GB2312" w:cs="仿宋"/>
          <w:color w:val="333333"/>
          <w:sz w:val="32"/>
          <w:szCs w:val="32"/>
        </w:rPr>
        <w:t>（二）综合评审。专家组经审查资料、实地查看、讨论研究，确定高技能人才实训基地建议名单。</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color w:val="333333"/>
          <w:sz w:val="32"/>
          <w:szCs w:val="32"/>
        </w:rPr>
        <w:t>（三）社会公示。建议名单</w:t>
      </w:r>
      <w:r>
        <w:rPr>
          <w:rFonts w:hint="eastAsia" w:ascii="仿宋_GB2312" w:hAnsi="仿宋" w:eastAsia="仿宋_GB2312" w:cs="仿宋"/>
          <w:sz w:val="32"/>
          <w:szCs w:val="32"/>
        </w:rPr>
        <w:t>通过市人力资源和社会保障局门户网站向社会公示，接受社会监督。公示时间为</w:t>
      </w:r>
      <w:r>
        <w:rPr>
          <w:rFonts w:ascii="仿宋_GB2312" w:hAnsi="仿宋" w:eastAsia="仿宋_GB2312" w:cs="仿宋"/>
          <w:sz w:val="32"/>
          <w:szCs w:val="32"/>
        </w:rPr>
        <w:t>5</w:t>
      </w:r>
      <w:r>
        <w:rPr>
          <w:rFonts w:hint="eastAsia" w:ascii="仿宋_GB2312" w:hAnsi="仿宋" w:eastAsia="仿宋_GB2312" w:cs="仿宋"/>
          <w:sz w:val="32"/>
          <w:szCs w:val="32"/>
        </w:rPr>
        <w:t>个工作日。</w:t>
      </w:r>
    </w:p>
    <w:p>
      <w:pPr>
        <w:spacing w:line="600" w:lineRule="exact"/>
        <w:ind w:firstLine="640" w:firstLineChars="200"/>
        <w:rPr>
          <w:rFonts w:ascii="仿宋_GB2312" w:hAnsi="仿宋" w:eastAsia="仿宋_GB2312" w:cs="仿宋"/>
          <w:color w:val="333333"/>
          <w:sz w:val="32"/>
          <w:szCs w:val="32"/>
        </w:rPr>
      </w:pPr>
      <w:r>
        <w:rPr>
          <w:rFonts w:hint="eastAsia" w:ascii="仿宋_GB2312" w:hAnsi="仿宋" w:eastAsia="仿宋_GB2312" w:cs="仿宋"/>
          <w:color w:val="333333"/>
          <w:sz w:val="32"/>
          <w:szCs w:val="32"/>
        </w:rPr>
        <w:t>（四）公布名单。</w:t>
      </w:r>
      <w:r>
        <w:rPr>
          <w:rFonts w:hint="eastAsia" w:ascii="仿宋_GB2312" w:hAnsi="仿宋" w:eastAsia="仿宋_GB2312" w:cs="仿宋"/>
          <w:sz w:val="32"/>
          <w:szCs w:val="32"/>
        </w:rPr>
        <w:t>入选高技能人才</w:t>
      </w:r>
      <w:r>
        <w:rPr>
          <w:rFonts w:hint="eastAsia" w:ascii="仿宋_GB2312" w:hAnsi="仿宋" w:eastAsia="仿宋_GB2312" w:cs="仿宋"/>
          <w:color w:val="333333"/>
          <w:sz w:val="32"/>
          <w:szCs w:val="32"/>
        </w:rPr>
        <w:t>实训基地</w:t>
      </w:r>
      <w:r>
        <w:rPr>
          <w:rFonts w:hint="eastAsia" w:ascii="仿宋_GB2312" w:hAnsi="仿宋" w:eastAsia="仿宋_GB2312" w:cs="仿宋"/>
          <w:sz w:val="32"/>
          <w:szCs w:val="32"/>
        </w:rPr>
        <w:t>单位</w:t>
      </w:r>
      <w:r>
        <w:rPr>
          <w:rFonts w:hint="eastAsia" w:ascii="仿宋_GB2312" w:hAnsi="仿宋" w:eastAsia="仿宋_GB2312" w:cs="仿宋"/>
          <w:color w:val="333333"/>
          <w:sz w:val="32"/>
          <w:szCs w:val="32"/>
        </w:rPr>
        <w:t>建议名单经公示无异议后，报市委人才工作领导小组备案，由市人力资源和社会保障局行文，公布太原市高技能人才实训基地名单。</w:t>
      </w:r>
    </w:p>
    <w:p>
      <w:pPr>
        <w:spacing w:line="600" w:lineRule="exact"/>
        <w:ind w:firstLine="643" w:firstLineChars="200"/>
        <w:rPr>
          <w:rFonts w:ascii="仿宋_GB2312" w:hAnsi="仿宋" w:eastAsia="仿宋_GB2312" w:cs="仿宋"/>
          <w:color w:val="333333"/>
          <w:sz w:val="32"/>
          <w:szCs w:val="32"/>
        </w:rPr>
      </w:pPr>
      <w:r>
        <w:rPr>
          <w:rFonts w:hint="eastAsia" w:ascii="仿宋_GB2312" w:hAnsi="仿宋" w:eastAsia="仿宋_GB2312" w:cs="仿宋"/>
          <w:b/>
          <w:color w:val="333333"/>
          <w:sz w:val="32"/>
          <w:szCs w:val="32"/>
        </w:rPr>
        <w:t>第八条</w:t>
      </w:r>
      <w:r>
        <w:rPr>
          <w:rFonts w:ascii="仿宋_GB2312" w:hAnsi="仿宋" w:eastAsia="仿宋_GB2312" w:cs="仿宋"/>
          <w:color w:val="333333"/>
          <w:sz w:val="32"/>
          <w:szCs w:val="32"/>
        </w:rPr>
        <w:t xml:space="preserve"> </w:t>
      </w:r>
      <w:r>
        <w:rPr>
          <w:rFonts w:hint="eastAsia" w:ascii="仿宋_GB2312" w:hAnsi="仿宋" w:eastAsia="仿宋_GB2312" w:cs="仿宋"/>
          <w:color w:val="333333"/>
          <w:sz w:val="32"/>
          <w:szCs w:val="32"/>
        </w:rPr>
        <w:t>经省级及以上人力资源和社会保障行政部门认定的高技能人才培训基地，可以直接认定为太原市高技能人才实训基地。</w:t>
      </w:r>
    </w:p>
    <w:p>
      <w:pPr>
        <w:pStyle w:val="5"/>
        <w:shd w:val="clear" w:color="auto" w:fill="FFFFFF"/>
        <w:spacing w:before="0" w:beforeAutospacing="0" w:after="0" w:afterAutospacing="0" w:line="600" w:lineRule="exact"/>
        <w:jc w:val="center"/>
        <w:rPr>
          <w:rFonts w:ascii="黑体" w:hAnsi="仿宋" w:eastAsia="黑体" w:cs="仿宋"/>
          <w:b/>
          <w:color w:val="333333"/>
          <w:sz w:val="32"/>
          <w:szCs w:val="32"/>
        </w:rPr>
      </w:pPr>
      <w:r>
        <w:rPr>
          <w:rFonts w:hint="eastAsia" w:ascii="黑体" w:hAnsi="仿宋" w:eastAsia="黑体" w:cs="仿宋"/>
          <w:b/>
          <w:color w:val="333333"/>
          <w:sz w:val="32"/>
          <w:szCs w:val="32"/>
        </w:rPr>
        <w:t>第三章</w:t>
      </w:r>
      <w:r>
        <w:rPr>
          <w:rFonts w:ascii="黑体" w:hAnsi="仿宋" w:eastAsia="黑体" w:cs="仿宋"/>
          <w:b/>
          <w:color w:val="333333"/>
          <w:sz w:val="32"/>
          <w:szCs w:val="32"/>
        </w:rPr>
        <w:t xml:space="preserve"> </w:t>
      </w:r>
      <w:r>
        <w:rPr>
          <w:rFonts w:hint="eastAsia" w:ascii="黑体" w:hAnsi="仿宋" w:eastAsia="黑体" w:cs="仿宋"/>
          <w:b/>
          <w:color w:val="333333"/>
          <w:sz w:val="32"/>
          <w:szCs w:val="32"/>
        </w:rPr>
        <w:t>经费保障</w:t>
      </w:r>
    </w:p>
    <w:p>
      <w:pPr>
        <w:pStyle w:val="5"/>
        <w:shd w:val="clear" w:color="auto" w:fill="FFFFFF"/>
        <w:spacing w:before="0" w:beforeAutospacing="0" w:after="0" w:afterAutospacing="0" w:line="600" w:lineRule="exact"/>
        <w:ind w:firstLine="555"/>
        <w:rPr>
          <w:rFonts w:ascii="仿宋_GB2312" w:hAnsi="仿宋" w:eastAsia="仿宋_GB2312" w:cs="仿宋"/>
          <w:color w:val="333333"/>
          <w:sz w:val="32"/>
          <w:szCs w:val="32"/>
        </w:rPr>
      </w:pPr>
      <w:r>
        <w:rPr>
          <w:rFonts w:hint="eastAsia" w:ascii="仿宋_GB2312" w:hAnsi="仿宋" w:eastAsia="仿宋_GB2312" w:cs="仿宋"/>
          <w:b/>
          <w:color w:val="333333"/>
          <w:sz w:val="32"/>
          <w:szCs w:val="32"/>
        </w:rPr>
        <w:t>第九条</w:t>
      </w:r>
      <w:r>
        <w:rPr>
          <w:rFonts w:ascii="仿宋_GB2312" w:hAnsi="仿宋" w:eastAsia="仿宋_GB2312" w:cs="仿宋"/>
          <w:color w:val="333333"/>
          <w:sz w:val="32"/>
          <w:szCs w:val="32"/>
        </w:rPr>
        <w:t xml:space="preserve"> </w:t>
      </w:r>
      <w:r>
        <w:rPr>
          <w:rFonts w:hint="eastAsia" w:ascii="仿宋_GB2312" w:hAnsi="仿宋" w:eastAsia="仿宋_GB2312" w:cs="仿宋"/>
          <w:color w:val="333333"/>
          <w:sz w:val="32"/>
          <w:szCs w:val="32"/>
        </w:rPr>
        <w:t>凡评定为市级高级技能人才实训基地的，给予</w:t>
      </w:r>
      <w:r>
        <w:rPr>
          <w:rFonts w:ascii="仿宋_GB2312" w:hAnsi="仿宋" w:eastAsia="仿宋_GB2312" w:cs="仿宋"/>
          <w:color w:val="333333"/>
          <w:sz w:val="32"/>
          <w:szCs w:val="32"/>
        </w:rPr>
        <w:t>100</w:t>
      </w:r>
      <w:r>
        <w:rPr>
          <w:rFonts w:hint="eastAsia" w:ascii="仿宋_GB2312" w:hAnsi="仿宋" w:eastAsia="仿宋_GB2312" w:cs="仿宋"/>
          <w:color w:val="333333"/>
          <w:sz w:val="32"/>
          <w:szCs w:val="32"/>
        </w:rPr>
        <w:t>万元一次性建设资金补贴。</w:t>
      </w:r>
    </w:p>
    <w:p>
      <w:pPr>
        <w:pStyle w:val="5"/>
        <w:shd w:val="clear" w:color="auto" w:fill="FFFFFF"/>
        <w:spacing w:before="0" w:beforeAutospacing="0" w:after="0" w:afterAutospacing="0" w:line="600" w:lineRule="exact"/>
        <w:jc w:val="center"/>
        <w:rPr>
          <w:rFonts w:ascii="黑体" w:hAnsi="仿宋" w:eastAsia="黑体" w:cs="仿宋"/>
          <w:b/>
          <w:color w:val="333333"/>
          <w:sz w:val="32"/>
          <w:szCs w:val="32"/>
        </w:rPr>
      </w:pPr>
      <w:r>
        <w:rPr>
          <w:rFonts w:hint="eastAsia" w:ascii="黑体" w:hAnsi="仿宋" w:eastAsia="黑体" w:cs="仿宋"/>
          <w:b/>
          <w:color w:val="333333"/>
          <w:sz w:val="32"/>
          <w:szCs w:val="32"/>
        </w:rPr>
        <w:t>第四章</w:t>
      </w:r>
      <w:r>
        <w:rPr>
          <w:rFonts w:ascii="黑体" w:hAnsi="仿宋" w:eastAsia="黑体" w:cs="仿宋"/>
          <w:b/>
          <w:color w:val="333333"/>
          <w:sz w:val="32"/>
          <w:szCs w:val="32"/>
        </w:rPr>
        <w:t xml:space="preserve"> </w:t>
      </w:r>
      <w:r>
        <w:rPr>
          <w:rFonts w:hint="eastAsia" w:ascii="黑体" w:hAnsi="仿宋" w:eastAsia="黑体" w:cs="仿宋"/>
          <w:b/>
          <w:color w:val="333333"/>
          <w:sz w:val="32"/>
          <w:szCs w:val="32"/>
        </w:rPr>
        <w:t>考核评估</w:t>
      </w:r>
    </w:p>
    <w:p>
      <w:pPr>
        <w:pStyle w:val="5"/>
        <w:shd w:val="clear" w:color="auto" w:fill="FFFFFF"/>
        <w:spacing w:before="0" w:beforeAutospacing="0" w:after="0" w:afterAutospacing="0" w:line="600" w:lineRule="exact"/>
        <w:ind w:firstLine="555"/>
        <w:rPr>
          <w:rFonts w:ascii="仿宋_GB2312" w:hAnsi="仿宋" w:eastAsia="仿宋_GB2312" w:cs="仿宋"/>
          <w:color w:val="333333"/>
          <w:sz w:val="32"/>
          <w:szCs w:val="32"/>
        </w:rPr>
      </w:pPr>
      <w:r>
        <w:rPr>
          <w:rFonts w:hint="eastAsia" w:ascii="仿宋_GB2312" w:hAnsi="仿宋" w:eastAsia="仿宋_GB2312" w:cs="仿宋"/>
          <w:b/>
          <w:color w:val="333333"/>
          <w:sz w:val="32"/>
          <w:szCs w:val="32"/>
        </w:rPr>
        <w:t>第十条</w:t>
      </w:r>
      <w:r>
        <w:rPr>
          <w:rFonts w:ascii="仿宋_GB2312" w:hAnsi="仿宋" w:eastAsia="仿宋_GB2312" w:cs="仿宋"/>
          <w:color w:val="333333"/>
          <w:sz w:val="32"/>
          <w:szCs w:val="32"/>
        </w:rPr>
        <w:t xml:space="preserve"> </w:t>
      </w:r>
      <w:r>
        <w:rPr>
          <w:rFonts w:hint="eastAsia" w:ascii="仿宋_GB2312" w:hAnsi="仿宋" w:eastAsia="仿宋_GB2312" w:cs="仿宋"/>
          <w:color w:val="333333"/>
          <w:sz w:val="32"/>
          <w:szCs w:val="32"/>
        </w:rPr>
        <w:t>建立高技能人才实训基地综合评估机制，通过以评促进，提高高技能人才培育质量，推动我市高技能人才队伍建设。</w:t>
      </w:r>
    </w:p>
    <w:p>
      <w:pPr>
        <w:spacing w:line="600" w:lineRule="exact"/>
        <w:ind w:firstLine="640" w:firstLineChars="200"/>
        <w:rPr>
          <w:rFonts w:ascii="仿宋_GB2312" w:hAnsi="仿宋" w:eastAsia="仿宋_GB2312" w:cs="仿宋"/>
          <w:sz w:val="32"/>
          <w:szCs w:val="32"/>
        </w:rPr>
      </w:pPr>
      <w:r>
        <w:rPr>
          <w:rFonts w:hint="eastAsia" w:ascii="仿宋_GB2312" w:hAnsi="仿宋" w:eastAsia="仿宋_GB2312" w:cs="仿宋"/>
          <w:color w:val="333333"/>
          <w:sz w:val="32"/>
          <w:szCs w:val="32"/>
        </w:rPr>
        <w:t>（一）</w:t>
      </w:r>
      <w:r>
        <w:rPr>
          <w:rFonts w:hint="eastAsia" w:ascii="仿宋_GB2312" w:hAnsi="仿宋" w:eastAsia="仿宋_GB2312" w:cs="仿宋"/>
          <w:sz w:val="32"/>
          <w:szCs w:val="32"/>
        </w:rPr>
        <w:t>市级高技能人才</w:t>
      </w:r>
      <w:r>
        <w:rPr>
          <w:rFonts w:hint="eastAsia" w:ascii="仿宋_GB2312" w:hAnsi="仿宋" w:eastAsia="仿宋_GB2312" w:cs="仿宋"/>
          <w:color w:val="333333"/>
          <w:sz w:val="32"/>
          <w:szCs w:val="32"/>
        </w:rPr>
        <w:t>实训</w:t>
      </w:r>
      <w:r>
        <w:rPr>
          <w:rFonts w:hint="eastAsia" w:ascii="仿宋_GB2312" w:hAnsi="仿宋" w:eastAsia="仿宋_GB2312" w:cs="仿宋"/>
          <w:sz w:val="32"/>
          <w:szCs w:val="32"/>
        </w:rPr>
        <w:t>基地每两年</w:t>
      </w:r>
      <w:r>
        <w:rPr>
          <w:rFonts w:hint="eastAsia" w:ascii="仿宋_GB2312" w:hAnsi="仿宋" w:eastAsia="仿宋_GB2312" w:cs="仿宋"/>
          <w:color w:val="333333"/>
          <w:sz w:val="32"/>
          <w:szCs w:val="32"/>
        </w:rPr>
        <w:t>进行一次综合评估。</w:t>
      </w:r>
    </w:p>
    <w:p>
      <w:pPr>
        <w:pStyle w:val="5"/>
        <w:shd w:val="clear" w:color="auto" w:fill="FFFFFF"/>
        <w:spacing w:before="0" w:beforeAutospacing="0" w:after="0" w:afterAutospacing="0" w:line="600" w:lineRule="exact"/>
        <w:ind w:firstLine="640" w:firstLineChars="200"/>
        <w:rPr>
          <w:rFonts w:ascii="仿宋_GB2312" w:hAnsi="仿宋" w:eastAsia="仿宋_GB2312" w:cs="仿宋"/>
          <w:color w:val="333333"/>
          <w:sz w:val="32"/>
          <w:szCs w:val="32"/>
        </w:rPr>
      </w:pPr>
      <w:r>
        <w:rPr>
          <w:rFonts w:hint="eastAsia" w:ascii="仿宋_GB2312" w:hAnsi="仿宋" w:eastAsia="仿宋_GB2312" w:cs="仿宋"/>
          <w:sz w:val="32"/>
          <w:szCs w:val="32"/>
        </w:rPr>
        <w:t>（二）</w:t>
      </w:r>
      <w:r>
        <w:rPr>
          <w:rFonts w:hint="eastAsia" w:ascii="仿宋_GB2312" w:hAnsi="仿宋" w:eastAsia="仿宋_GB2312" w:cs="仿宋"/>
          <w:color w:val="333333"/>
          <w:sz w:val="32"/>
          <w:szCs w:val="32"/>
        </w:rPr>
        <w:t>综合评估主要内容包括基地设施配套情况、制度建设健全情况、师资建设队伍建设情况、实训情况以及实训模式、课程设置、教材开发等方面情况。</w:t>
      </w:r>
    </w:p>
    <w:p>
      <w:pPr>
        <w:pStyle w:val="5"/>
        <w:shd w:val="clear" w:color="auto" w:fill="FFFFFF"/>
        <w:spacing w:before="0" w:beforeAutospacing="0" w:after="0" w:afterAutospacing="0" w:line="600" w:lineRule="exact"/>
        <w:ind w:firstLine="640" w:firstLineChars="200"/>
        <w:rPr>
          <w:rFonts w:ascii="仿宋_GB2312" w:hAnsi="仿宋" w:eastAsia="仿宋_GB2312" w:cs="仿宋"/>
          <w:color w:val="333333"/>
          <w:sz w:val="32"/>
          <w:szCs w:val="32"/>
        </w:rPr>
      </w:pPr>
      <w:r>
        <w:rPr>
          <w:rFonts w:hint="eastAsia" w:ascii="仿宋_GB2312" w:hAnsi="仿宋" w:eastAsia="仿宋_GB2312" w:cs="仿宋"/>
          <w:color w:val="333333"/>
          <w:sz w:val="32"/>
          <w:szCs w:val="32"/>
        </w:rPr>
        <w:t>（三）评估不合格的，限期</w:t>
      </w:r>
      <w:r>
        <w:rPr>
          <w:rFonts w:ascii="仿宋_GB2312" w:hAnsi="仿宋" w:eastAsia="仿宋_GB2312" w:cs="仿宋"/>
          <w:color w:val="333333"/>
          <w:sz w:val="32"/>
          <w:szCs w:val="32"/>
        </w:rPr>
        <w:t>6</w:t>
      </w:r>
      <w:r>
        <w:rPr>
          <w:rFonts w:hint="eastAsia" w:ascii="仿宋_GB2312" w:hAnsi="仿宋" w:eastAsia="仿宋_GB2312" w:cs="仿宋"/>
          <w:color w:val="333333"/>
          <w:sz w:val="32"/>
          <w:szCs w:val="32"/>
        </w:rPr>
        <w:t>个月整改，整改后经再次考核仍达不到要求的，取消其市级基地资格。对评估成绩优秀的给予</w:t>
      </w:r>
      <w:r>
        <w:rPr>
          <w:rFonts w:ascii="仿宋_GB2312" w:hAnsi="仿宋" w:eastAsia="仿宋_GB2312" w:cs="仿宋"/>
          <w:color w:val="333333"/>
          <w:sz w:val="32"/>
          <w:szCs w:val="32"/>
        </w:rPr>
        <w:t>20</w:t>
      </w:r>
      <w:r>
        <w:rPr>
          <w:rFonts w:hint="eastAsia" w:ascii="仿宋_GB2312" w:hAnsi="仿宋" w:eastAsia="仿宋_GB2312" w:cs="仿宋"/>
          <w:color w:val="333333"/>
          <w:sz w:val="32"/>
          <w:szCs w:val="32"/>
        </w:rPr>
        <w:t>万元奖励。</w:t>
      </w:r>
    </w:p>
    <w:p>
      <w:pPr>
        <w:pStyle w:val="5"/>
        <w:shd w:val="clear" w:color="auto" w:fill="FFFFFF"/>
        <w:spacing w:before="0" w:beforeAutospacing="0" w:after="0" w:afterAutospacing="0" w:line="600" w:lineRule="exact"/>
        <w:jc w:val="center"/>
        <w:rPr>
          <w:rFonts w:ascii="黑体" w:hAnsi="仿宋" w:eastAsia="黑体" w:cs="仿宋"/>
          <w:b/>
          <w:color w:val="333333"/>
          <w:sz w:val="32"/>
          <w:szCs w:val="32"/>
        </w:rPr>
      </w:pPr>
      <w:r>
        <w:rPr>
          <w:rFonts w:hint="eastAsia" w:ascii="黑体" w:hAnsi="仿宋" w:eastAsia="黑体" w:cs="仿宋"/>
          <w:b/>
          <w:color w:val="333333"/>
          <w:sz w:val="32"/>
          <w:szCs w:val="32"/>
        </w:rPr>
        <w:t>第五章</w:t>
      </w:r>
      <w:r>
        <w:rPr>
          <w:rFonts w:ascii="黑体" w:hAnsi="仿宋" w:eastAsia="黑体" w:cs="仿宋"/>
          <w:b/>
          <w:color w:val="333333"/>
          <w:sz w:val="32"/>
          <w:szCs w:val="32"/>
        </w:rPr>
        <w:t xml:space="preserve"> </w:t>
      </w:r>
      <w:r>
        <w:rPr>
          <w:rFonts w:hint="eastAsia" w:ascii="黑体" w:hAnsi="仿宋" w:eastAsia="黑体" w:cs="仿宋"/>
          <w:b/>
          <w:color w:val="333333"/>
          <w:sz w:val="32"/>
          <w:szCs w:val="32"/>
        </w:rPr>
        <w:t>附则</w:t>
      </w:r>
    </w:p>
    <w:p>
      <w:pPr>
        <w:pStyle w:val="5"/>
        <w:shd w:val="clear" w:color="auto" w:fill="FFFFFF"/>
        <w:spacing w:before="0" w:beforeAutospacing="0" w:after="0" w:afterAutospacing="0" w:line="600" w:lineRule="exact"/>
        <w:rPr>
          <w:rFonts w:ascii="仿宋_GB2312" w:hAnsi="仿宋" w:eastAsia="仿宋_GB2312" w:cs="仿宋"/>
          <w:color w:val="333333"/>
          <w:sz w:val="32"/>
          <w:szCs w:val="32"/>
        </w:rPr>
      </w:pPr>
      <w:r>
        <w:rPr>
          <w:rFonts w:hint="eastAsia" w:ascii="仿宋_GB2312" w:hAnsi="仿宋" w:eastAsia="仿宋_GB2312" w:cs="仿宋"/>
          <w:color w:val="333333"/>
          <w:sz w:val="32"/>
          <w:szCs w:val="32"/>
        </w:rPr>
        <w:t>　</w:t>
      </w:r>
      <w:r>
        <w:rPr>
          <w:rFonts w:hint="eastAsia" w:ascii="仿宋_GB2312" w:hAnsi="仿宋" w:eastAsia="仿宋_GB2312" w:cs="仿宋"/>
          <w:b/>
          <w:color w:val="333333"/>
          <w:sz w:val="32"/>
          <w:szCs w:val="32"/>
        </w:rPr>
        <w:t>　第十一条</w:t>
      </w:r>
      <w:r>
        <w:rPr>
          <w:rFonts w:ascii="仿宋_GB2312" w:hAnsi="仿宋" w:eastAsia="仿宋_GB2312" w:cs="仿宋"/>
          <w:color w:val="333333"/>
          <w:sz w:val="32"/>
          <w:szCs w:val="32"/>
        </w:rPr>
        <w:t xml:space="preserve"> </w:t>
      </w:r>
      <w:r>
        <w:rPr>
          <w:rFonts w:hint="eastAsia" w:ascii="仿宋_GB2312" w:hAnsi="仿宋" w:eastAsia="仿宋_GB2312" w:cs="仿宋"/>
          <w:color w:val="333333"/>
          <w:sz w:val="32"/>
          <w:szCs w:val="32"/>
        </w:rPr>
        <w:t>本细则自发文之日起执行。</w:t>
      </w:r>
    </w:p>
    <w:p>
      <w:pPr>
        <w:pStyle w:val="5"/>
        <w:shd w:val="clear" w:color="auto" w:fill="FFFFFF"/>
        <w:spacing w:before="0" w:beforeAutospacing="0" w:after="0" w:afterAutospacing="0" w:line="600" w:lineRule="exact"/>
        <w:ind w:firstLine="570"/>
        <w:rPr>
          <w:rFonts w:ascii="仿宋_GB2312" w:hAnsi="仿宋" w:eastAsia="仿宋_GB2312" w:cs="仿宋"/>
          <w:color w:val="333333"/>
          <w:sz w:val="32"/>
          <w:szCs w:val="32"/>
        </w:rPr>
      </w:pPr>
      <w:r>
        <w:rPr>
          <w:rFonts w:hint="eastAsia" w:ascii="仿宋_GB2312" w:hAnsi="仿宋" w:eastAsia="仿宋_GB2312" w:cs="仿宋"/>
          <w:b/>
          <w:color w:val="333333"/>
          <w:sz w:val="32"/>
          <w:szCs w:val="32"/>
        </w:rPr>
        <w:t>第十二条</w:t>
      </w:r>
      <w:r>
        <w:rPr>
          <w:rFonts w:ascii="仿宋_GB2312" w:hAnsi="仿宋" w:eastAsia="仿宋_GB2312" w:cs="仿宋"/>
          <w:color w:val="333333"/>
          <w:sz w:val="32"/>
          <w:szCs w:val="32"/>
        </w:rPr>
        <w:t xml:space="preserve"> </w:t>
      </w:r>
      <w:r>
        <w:rPr>
          <w:rFonts w:hint="eastAsia" w:ascii="仿宋_GB2312" w:hAnsi="仿宋" w:eastAsia="仿宋_GB2312" w:cs="仿宋"/>
          <w:color w:val="333333"/>
          <w:sz w:val="32"/>
          <w:szCs w:val="32"/>
        </w:rPr>
        <w:t>本细则由太原市人力资源和社会保障局负责解释。</w:t>
      </w:r>
    </w:p>
    <w:p>
      <w:pPr>
        <w:spacing w:line="600" w:lineRule="exact"/>
        <w:ind w:firstLine="640" w:firstLineChars="200"/>
        <w:rPr>
          <w:rFonts w:ascii="仿宋_GB2312" w:hAnsi="仿宋" w:eastAsia="仿宋_GB2312" w:cs="仿宋"/>
          <w:color w:val="333333"/>
          <w:sz w:val="32"/>
          <w:szCs w:val="32"/>
        </w:rPr>
      </w:pPr>
    </w:p>
    <w:p>
      <w:pPr>
        <w:spacing w:line="600" w:lineRule="exact"/>
        <w:ind w:firstLine="640" w:firstLineChars="200"/>
        <w:rPr>
          <w:rFonts w:ascii="仿宋_GB2312" w:hAnsi="仿宋" w:eastAsia="仿宋_GB2312" w:cs="仿宋"/>
          <w:color w:val="333333"/>
          <w:sz w:val="32"/>
          <w:szCs w:val="32"/>
        </w:rPr>
      </w:pPr>
      <w:r>
        <w:rPr>
          <w:rFonts w:hint="eastAsia" w:ascii="仿宋_GB2312" w:hAnsi="仿宋" w:eastAsia="仿宋_GB2312" w:cs="仿宋"/>
          <w:color w:val="333333"/>
          <w:sz w:val="32"/>
          <w:szCs w:val="32"/>
        </w:rPr>
        <w:t>附件：</w:t>
      </w:r>
    </w:p>
    <w:p>
      <w:pPr>
        <w:spacing w:line="600" w:lineRule="exact"/>
        <w:ind w:firstLine="640" w:firstLineChars="200"/>
        <w:rPr>
          <w:rFonts w:ascii="仿宋_GB2312" w:hAnsi="仿宋" w:eastAsia="仿宋_GB2312" w:cs="仿宋"/>
          <w:sz w:val="32"/>
          <w:szCs w:val="32"/>
        </w:rPr>
      </w:pPr>
      <w:r>
        <w:rPr>
          <w:rFonts w:ascii="仿宋_GB2312" w:hAnsi="仿宋" w:eastAsia="仿宋_GB2312" w:cs="仿宋"/>
          <w:sz w:val="32"/>
          <w:szCs w:val="32"/>
        </w:rPr>
        <w:t>1</w:t>
      </w:r>
      <w:r>
        <w:rPr>
          <w:rFonts w:hint="eastAsia" w:ascii="仿宋_GB2312" w:hAnsi="仿宋" w:eastAsia="仿宋_GB2312" w:cs="仿宋"/>
          <w:sz w:val="32"/>
          <w:szCs w:val="32"/>
          <w:lang w:val="en-US" w:eastAsia="zh-CN"/>
        </w:rPr>
        <w:t>.</w:t>
      </w:r>
      <w:r>
        <w:rPr>
          <w:rFonts w:hint="eastAsia" w:ascii="仿宋_GB2312" w:hAnsi="仿宋" w:eastAsia="仿宋_GB2312" w:cs="仿宋"/>
          <w:sz w:val="32"/>
          <w:szCs w:val="32"/>
        </w:rPr>
        <w:t>太原市高技能人才</w:t>
      </w:r>
      <w:r>
        <w:rPr>
          <w:rFonts w:hint="eastAsia" w:ascii="仿宋_GB2312" w:hAnsi="仿宋" w:eastAsia="仿宋_GB2312" w:cs="仿宋"/>
          <w:color w:val="333333"/>
          <w:sz w:val="32"/>
          <w:szCs w:val="32"/>
        </w:rPr>
        <w:t>实训</w:t>
      </w:r>
      <w:r>
        <w:rPr>
          <w:rFonts w:hint="eastAsia" w:ascii="仿宋_GB2312" w:hAnsi="仿宋" w:eastAsia="仿宋_GB2312" w:cs="仿宋"/>
          <w:sz w:val="32"/>
          <w:szCs w:val="32"/>
        </w:rPr>
        <w:t>基地申报书</w:t>
      </w:r>
    </w:p>
    <w:p>
      <w:pPr>
        <w:spacing w:line="600" w:lineRule="exact"/>
        <w:ind w:firstLine="640" w:firstLineChars="200"/>
        <w:rPr>
          <w:rFonts w:ascii="仿宋_GB2312" w:hAnsi="仿宋" w:eastAsia="仿宋_GB2312" w:cs="仿宋"/>
          <w:sz w:val="32"/>
          <w:szCs w:val="32"/>
        </w:rPr>
      </w:pPr>
      <w:r>
        <w:rPr>
          <w:rFonts w:ascii="仿宋_GB2312" w:hAnsi="仿宋" w:eastAsia="仿宋_GB2312" w:cs="仿宋"/>
          <w:sz w:val="32"/>
          <w:szCs w:val="32"/>
        </w:rPr>
        <w:t>2</w:t>
      </w:r>
      <w:r>
        <w:rPr>
          <w:rFonts w:hint="eastAsia" w:ascii="仿宋_GB2312" w:hAnsi="仿宋" w:eastAsia="仿宋_GB2312" w:cs="仿宋"/>
          <w:sz w:val="32"/>
          <w:szCs w:val="32"/>
          <w:lang w:val="en-US" w:eastAsia="zh-CN"/>
        </w:rPr>
        <w:t>.</w:t>
      </w:r>
      <w:r>
        <w:rPr>
          <w:rFonts w:hint="eastAsia" w:ascii="仿宋_GB2312" w:hAnsi="仿宋" w:eastAsia="仿宋_GB2312" w:cs="仿宋"/>
          <w:sz w:val="32"/>
          <w:szCs w:val="32"/>
          <w:lang w:eastAsia="zh-CN"/>
        </w:rPr>
        <w:t>太原市</w:t>
      </w:r>
      <w:r>
        <w:rPr>
          <w:rFonts w:hint="eastAsia" w:ascii="仿宋_GB2312" w:hAnsi="仿宋" w:eastAsia="仿宋_GB2312" w:cs="仿宋"/>
          <w:sz w:val="32"/>
          <w:szCs w:val="32"/>
        </w:rPr>
        <w:t>高技能人才</w:t>
      </w:r>
      <w:r>
        <w:rPr>
          <w:rFonts w:hint="eastAsia" w:ascii="仿宋_GB2312" w:hAnsi="仿宋" w:eastAsia="仿宋_GB2312" w:cs="仿宋"/>
          <w:color w:val="333333"/>
          <w:sz w:val="32"/>
          <w:szCs w:val="32"/>
        </w:rPr>
        <w:t>实训</w:t>
      </w:r>
      <w:r>
        <w:rPr>
          <w:rFonts w:hint="eastAsia" w:ascii="仿宋_GB2312" w:hAnsi="仿宋" w:eastAsia="仿宋_GB2312" w:cs="仿宋"/>
          <w:sz w:val="32"/>
          <w:szCs w:val="32"/>
        </w:rPr>
        <w:t>基地实施方案</w:t>
      </w:r>
    </w:p>
    <w:p>
      <w:pPr>
        <w:pStyle w:val="5"/>
        <w:shd w:val="clear" w:color="auto" w:fill="FFFFFF"/>
        <w:spacing w:before="0" w:beforeAutospacing="0" w:after="0" w:afterAutospacing="0" w:line="600" w:lineRule="exact"/>
        <w:ind w:firstLine="570"/>
        <w:rPr>
          <w:rFonts w:ascii="仿宋_GB2312" w:eastAsia="仿宋_GB2312"/>
          <w:color w:val="333333"/>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roma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5</w:t>
    </w:r>
    <w:r>
      <w:rPr>
        <w:rStyle w:val="8"/>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E1C"/>
    <w:rsid w:val="00017C90"/>
    <w:rsid w:val="00017E26"/>
    <w:rsid w:val="00027A27"/>
    <w:rsid w:val="0004229E"/>
    <w:rsid w:val="0004577C"/>
    <w:rsid w:val="000721CE"/>
    <w:rsid w:val="00075AC9"/>
    <w:rsid w:val="000D63B1"/>
    <w:rsid w:val="000E7FE0"/>
    <w:rsid w:val="001064FA"/>
    <w:rsid w:val="0012691E"/>
    <w:rsid w:val="001A2645"/>
    <w:rsid w:val="001B67C6"/>
    <w:rsid w:val="0021420E"/>
    <w:rsid w:val="00214377"/>
    <w:rsid w:val="00234505"/>
    <w:rsid w:val="002401B7"/>
    <w:rsid w:val="0024324F"/>
    <w:rsid w:val="002475E6"/>
    <w:rsid w:val="00252359"/>
    <w:rsid w:val="00255117"/>
    <w:rsid w:val="002762B3"/>
    <w:rsid w:val="00284400"/>
    <w:rsid w:val="0028607A"/>
    <w:rsid w:val="0029234B"/>
    <w:rsid w:val="002A3C55"/>
    <w:rsid w:val="002B42AB"/>
    <w:rsid w:val="002B5ABC"/>
    <w:rsid w:val="002C1E46"/>
    <w:rsid w:val="002C6F50"/>
    <w:rsid w:val="002E6B96"/>
    <w:rsid w:val="002F2B85"/>
    <w:rsid w:val="003068C6"/>
    <w:rsid w:val="00316EDE"/>
    <w:rsid w:val="00322D55"/>
    <w:rsid w:val="00327839"/>
    <w:rsid w:val="00337C74"/>
    <w:rsid w:val="003411AD"/>
    <w:rsid w:val="00341993"/>
    <w:rsid w:val="00376911"/>
    <w:rsid w:val="00381AC3"/>
    <w:rsid w:val="00395D76"/>
    <w:rsid w:val="003B15C1"/>
    <w:rsid w:val="003E54E6"/>
    <w:rsid w:val="00413C9A"/>
    <w:rsid w:val="00426BCE"/>
    <w:rsid w:val="0042758A"/>
    <w:rsid w:val="004303C7"/>
    <w:rsid w:val="0043680D"/>
    <w:rsid w:val="00440975"/>
    <w:rsid w:val="004414AF"/>
    <w:rsid w:val="00441C15"/>
    <w:rsid w:val="004578D8"/>
    <w:rsid w:val="004B1458"/>
    <w:rsid w:val="004D0CF2"/>
    <w:rsid w:val="004D109B"/>
    <w:rsid w:val="00540F5F"/>
    <w:rsid w:val="00585CEB"/>
    <w:rsid w:val="005B2100"/>
    <w:rsid w:val="005F04A0"/>
    <w:rsid w:val="00611F5F"/>
    <w:rsid w:val="00612CF1"/>
    <w:rsid w:val="00625447"/>
    <w:rsid w:val="00646FF9"/>
    <w:rsid w:val="006479AD"/>
    <w:rsid w:val="00652F88"/>
    <w:rsid w:val="00657137"/>
    <w:rsid w:val="00673A88"/>
    <w:rsid w:val="006A067B"/>
    <w:rsid w:val="006A7947"/>
    <w:rsid w:val="006C2553"/>
    <w:rsid w:val="00720156"/>
    <w:rsid w:val="00741A3C"/>
    <w:rsid w:val="007902EE"/>
    <w:rsid w:val="007A18B1"/>
    <w:rsid w:val="007D14A0"/>
    <w:rsid w:val="008360B2"/>
    <w:rsid w:val="0084017B"/>
    <w:rsid w:val="00877CCC"/>
    <w:rsid w:val="00884B17"/>
    <w:rsid w:val="00890B79"/>
    <w:rsid w:val="008922D5"/>
    <w:rsid w:val="008A37C3"/>
    <w:rsid w:val="008D0C6F"/>
    <w:rsid w:val="008D5969"/>
    <w:rsid w:val="008F10E2"/>
    <w:rsid w:val="009063F4"/>
    <w:rsid w:val="00910A82"/>
    <w:rsid w:val="0097502E"/>
    <w:rsid w:val="009E10D8"/>
    <w:rsid w:val="009E116C"/>
    <w:rsid w:val="009E6E1C"/>
    <w:rsid w:val="009F2AE5"/>
    <w:rsid w:val="00A20C25"/>
    <w:rsid w:val="00A35356"/>
    <w:rsid w:val="00A45508"/>
    <w:rsid w:val="00A5791E"/>
    <w:rsid w:val="00A652E0"/>
    <w:rsid w:val="00A66DCA"/>
    <w:rsid w:val="00A72BFA"/>
    <w:rsid w:val="00A80FD2"/>
    <w:rsid w:val="00A938C9"/>
    <w:rsid w:val="00AC3DE2"/>
    <w:rsid w:val="00AD2817"/>
    <w:rsid w:val="00AF2750"/>
    <w:rsid w:val="00B170C7"/>
    <w:rsid w:val="00B534D2"/>
    <w:rsid w:val="00B9370B"/>
    <w:rsid w:val="00BA71CB"/>
    <w:rsid w:val="00BC6184"/>
    <w:rsid w:val="00BD71EC"/>
    <w:rsid w:val="00C00348"/>
    <w:rsid w:val="00C20F5B"/>
    <w:rsid w:val="00C26477"/>
    <w:rsid w:val="00C2780A"/>
    <w:rsid w:val="00C47BC3"/>
    <w:rsid w:val="00C57965"/>
    <w:rsid w:val="00CA07CD"/>
    <w:rsid w:val="00CB4E6F"/>
    <w:rsid w:val="00CD381D"/>
    <w:rsid w:val="00CD74CA"/>
    <w:rsid w:val="00CE4CDA"/>
    <w:rsid w:val="00CF3E69"/>
    <w:rsid w:val="00D1495C"/>
    <w:rsid w:val="00D70925"/>
    <w:rsid w:val="00D8213C"/>
    <w:rsid w:val="00DE6502"/>
    <w:rsid w:val="00DF5E4F"/>
    <w:rsid w:val="00E103E0"/>
    <w:rsid w:val="00E454D2"/>
    <w:rsid w:val="00E80D3D"/>
    <w:rsid w:val="00E92EDA"/>
    <w:rsid w:val="00EB0FA6"/>
    <w:rsid w:val="00ED7E4B"/>
    <w:rsid w:val="00F13339"/>
    <w:rsid w:val="00F358E5"/>
    <w:rsid w:val="00F41A86"/>
    <w:rsid w:val="00F44A73"/>
    <w:rsid w:val="00F74D5C"/>
    <w:rsid w:val="00F77ABD"/>
    <w:rsid w:val="00F95257"/>
    <w:rsid w:val="00FA5F0D"/>
    <w:rsid w:val="00FB6C59"/>
    <w:rsid w:val="00FC4798"/>
    <w:rsid w:val="00FC792E"/>
    <w:rsid w:val="00FF0C65"/>
    <w:rsid w:val="00FF7F9B"/>
    <w:rsid w:val="12173EF3"/>
    <w:rsid w:val="2D6F5BA9"/>
    <w:rsid w:val="3DBB68B6"/>
    <w:rsid w:val="47D64D0A"/>
    <w:rsid w:val="5DA97733"/>
    <w:rsid w:val="6C86178E"/>
    <w:rsid w:val="77CE3454"/>
    <w:rsid w:val="7D652E3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99"/>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9"/>
    <w:semiHidden/>
    <w:qFormat/>
    <w:uiPriority w:val="99"/>
    <w:rPr>
      <w:sz w:val="18"/>
      <w:szCs w:val="18"/>
    </w:rPr>
  </w:style>
  <w:style w:type="paragraph" w:styleId="3">
    <w:name w:val="footer"/>
    <w:basedOn w:val="1"/>
    <w:link w:val="10"/>
    <w:semiHidden/>
    <w:qFormat/>
    <w:uiPriority w:val="99"/>
    <w:pPr>
      <w:tabs>
        <w:tab w:val="center" w:pos="4153"/>
        <w:tab w:val="right" w:pos="8306"/>
      </w:tabs>
      <w:snapToGrid w:val="0"/>
      <w:jc w:val="left"/>
    </w:pPr>
    <w:rPr>
      <w:sz w:val="18"/>
      <w:szCs w:val="18"/>
    </w:rPr>
  </w:style>
  <w:style w:type="paragraph" w:styleId="4">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widowControl/>
      <w:spacing w:before="100" w:beforeAutospacing="1" w:after="100" w:afterAutospacing="1"/>
      <w:jc w:val="left"/>
    </w:pPr>
    <w:rPr>
      <w:rFonts w:ascii="宋体" w:hAnsi="宋体" w:cs="宋体"/>
      <w:kern w:val="0"/>
      <w:sz w:val="24"/>
    </w:rPr>
  </w:style>
  <w:style w:type="character" w:styleId="8">
    <w:name w:val="page number"/>
    <w:basedOn w:val="7"/>
    <w:qFormat/>
    <w:uiPriority w:val="99"/>
    <w:rPr>
      <w:rFonts w:cs="Times New Roman"/>
    </w:rPr>
  </w:style>
  <w:style w:type="character" w:customStyle="1" w:styleId="9">
    <w:name w:val="Balloon Text Char"/>
    <w:basedOn w:val="7"/>
    <w:link w:val="2"/>
    <w:semiHidden/>
    <w:qFormat/>
    <w:locked/>
    <w:uiPriority w:val="99"/>
    <w:rPr>
      <w:rFonts w:ascii="Times New Roman" w:hAnsi="Times New Roman" w:cs="Times New Roman"/>
      <w:sz w:val="2"/>
    </w:rPr>
  </w:style>
  <w:style w:type="character" w:customStyle="1" w:styleId="10">
    <w:name w:val="Footer Char"/>
    <w:basedOn w:val="7"/>
    <w:link w:val="3"/>
    <w:semiHidden/>
    <w:qFormat/>
    <w:locked/>
    <w:uiPriority w:val="99"/>
    <w:rPr>
      <w:rFonts w:ascii="Times New Roman" w:hAnsi="Times New Roman" w:eastAsia="宋体" w:cs="Times New Roman"/>
      <w:sz w:val="18"/>
      <w:szCs w:val="18"/>
    </w:rPr>
  </w:style>
  <w:style w:type="character" w:customStyle="1" w:styleId="11">
    <w:name w:val="Header Char"/>
    <w:basedOn w:val="7"/>
    <w:link w:val="4"/>
    <w:semiHidden/>
    <w:qFormat/>
    <w:locked/>
    <w:uiPriority w:val="99"/>
    <w:rPr>
      <w:rFonts w:ascii="Times New Roman" w:hAnsi="Times New Roman" w:eastAsia="宋体" w:cs="Times New Roman"/>
      <w:sz w:val="18"/>
      <w:szCs w:val="18"/>
    </w:rPr>
  </w:style>
  <w:style w:type="paragraph" w:customStyle="1" w:styleId="12">
    <w:name w:val="custom_unionstyle"/>
    <w:basedOn w:val="1"/>
    <w:qFormat/>
    <w:uiPriority w:val="99"/>
    <w:pPr>
      <w:widowControl/>
      <w:spacing w:before="100" w:beforeAutospacing="1" w:after="100" w:afterAutospacing="1"/>
      <w:jc w:val="left"/>
    </w:pPr>
    <w:rPr>
      <w:rFonts w:ascii="宋体" w:hAnsi="宋体" w:cs="宋体"/>
      <w:kern w:val="0"/>
      <w:sz w:val="24"/>
    </w:rPr>
  </w:style>
  <w:style w:type="character" w:customStyle="1" w:styleId="13">
    <w:name w:val="apple-converted-space"/>
    <w:basedOn w:val="7"/>
    <w:qFormat/>
    <w:uiPriority w:val="99"/>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346</Words>
  <Characters>1978</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2018-12-05T08:49:00Z</dcterms:created>
  <dc:creator>微软中国</dc:creator>
  <cp:lastModifiedBy>jsc</cp:lastModifiedBy>
  <cp:lastPrinted>2019-03-02T11:52:00Z</cp:lastPrinted>
  <dcterms:modified xsi:type="dcterms:W3CDTF">2020-04-13T02:11:17Z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